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Pt. A,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Pt. A,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