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612-A</w:t>
        <w:t xml:space="preserve">.  </w:t>
      </w:r>
      <w:r>
        <w:rPr>
          <w:b/>
        </w:rPr>
        <w:t xml:space="preserve">Municipal licensing</w:t>
      </w:r>
    </w:p>
    <w:p>
      <w:pPr>
        <w:jc w:val="both"/>
        <w:spacing w:before="100" w:after="100"/>
        <w:ind w:start="360"/>
        <w:ind w:firstLine="360"/>
      </w:pPr>
      <w:r>
        <w:rPr/>
      </w:r>
      <w:r>
        <w:rPr/>
      </w:r>
      <w:r>
        <w:t xml:space="preserve">This subchapter may not be construed to prevent a municipality from acting under its home rule authority granted by </w:t>
      </w:r>
      <w:r>
        <w:t>Title 30‑A, section 3001</w:t>
      </w:r>
      <w:r>
        <w:t xml:space="preserve"> and by the Constitution of Maine, Article VIII, Part Second, to license or regulate the business of employment agencies or to require a bond.</w:t>
      </w:r>
      <w:r>
        <w:t xml:space="preserve">  </w:t>
      </w:r>
      <w:r xmlns:wp="http://schemas.openxmlformats.org/drawingml/2010/wordprocessingDrawing" xmlns:w15="http://schemas.microsoft.com/office/word/2012/wordml">
        <w:rPr>
          <w:rFonts w:ascii="Arial" w:hAnsi="Arial" w:cs="Arial"/>
          <w:sz w:val="22"/>
          <w:szCs w:val="22"/>
        </w:rPr>
        <w:t xml:space="preserve">[PL 1991, c. 824,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§2 (NEW). PL 1991, c. 824, §A55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§612-A. Municipal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§612-A. Municipal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§612-A. MUNICIPAL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