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1412-C</w:t>
        <w:t xml:space="preserve">.  </w:t>
      </w:r>
      <w:r>
        <w:rPr>
          <w:b/>
        </w:rPr>
        <w:t xml:space="preserve">Bureau of Rehabilitation Services; Division of Vocational Rehabilitation</w:t>
      </w:r>
    </w:p>
    <w:p>
      <w:pPr>
        <w:jc w:val="both"/>
        <w:spacing w:before="100" w:after="100"/>
        <w:ind w:start="360"/>
        <w:ind w:firstLine="360"/>
      </w:pPr>
      <w:r>
        <w:rPr/>
      </w:r>
      <w:r>
        <w:rPr/>
      </w:r>
      <w:r>
        <w:t xml:space="preserve">The commissioner shall establish within the department the Bureau of Rehabilitation Services.  Within the bureau, the Division of Vocational Rehabilitation, as the designated state unit under the federal Rehabilitation Act of 1973, shall administer that group of rehabilitation services to nonblind and nonvisually impaired individuals specifically related to the federal vocational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2015, c. 141,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§1412-C. Bureau of Rehabilitation Services; Division of Vocational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§1412-C. Bureau of Rehabilitation Services; Division of Vocational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§1412-C. BUREAU OF REHABILITATION SERVICES; DIVISION OF VOCATIONAL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