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Existing contracts</w:t>
      </w:r>
    </w:p>
    <w:p>
      <w:pPr>
        <w:jc w:val="both"/>
        <w:spacing w:before="100" w:after="100"/>
        <w:ind w:start="360"/>
        <w:ind w:firstLine="360"/>
      </w:pPr>
      <w:r>
        <w:rPr/>
      </w:r>
      <w:r>
        <w:rPr/>
      </w:r>
      <w:r>
        <w:t>Sections 1304</w:t>
      </w:r>
      <w:r>
        <w:t xml:space="preserve"> to </w:t>
      </w:r>
      <w:r>
        <w:t>1313</w:t>
      </w:r>
      <w:r>
        <w:t xml:space="preserve"> apply only to contracts for construction on public works let after January 1, 1968 and to construction on public works for which there has been determined the fair minimum wage and benefits rates as provided in </w:t>
      </w:r>
      <w:r>
        <w:t>sections 1304</w:t>
      </w:r>
      <w:r>
        <w:t xml:space="preserve"> to </w:t>
      </w:r>
      <w:r>
        <w:t>1313</w:t>
      </w:r>
      <w:r>
        <w:t xml:space="preserve"> and that determination has not been appealed as provided by </w:t>
      </w:r>
      <w:r>
        <w:t>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406, §2 (NEW). PL 1967, c. 403 (RPR). PL 1997, c. 757,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Existing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Existing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§1313. EXISTING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