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1030</w:t>
        <w:t xml:space="preserve">.  </w:t>
      </w:r>
      <w:r>
        <w:rPr>
          <w:b/>
        </w:rPr>
        <w:t xml:space="preserve">Hearings</w:t>
      </w:r>
    </w:p>
    <w:p>
      <w:pPr>
        <w:jc w:val="both"/>
        <w:spacing w:before="100" w:after="0"/>
        <w:ind w:start="360"/>
        <w:ind w:firstLine="360"/>
      </w:pPr>
      <w:r>
        <w:rPr>
          <w:b/>
        </w:rPr>
        <w:t>1</w:t>
        <w:t xml:space="preserve">.  </w:t>
      </w:r>
      <w:r>
        <w:rPr>
          <w:b/>
        </w:rPr>
        <w:t xml:space="preserve">Conduct of hearings.</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Power of chairman.</w:t>
        <w:t xml:space="preserve"> </w:t>
      </w:r>
      <w:r>
        <w:t xml:space="preserve"> </w:t>
      </w:r>
      <w:r>
        <w:t xml:space="preserve">The chairman shall have the power to administer oaths and to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§1030.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§1030.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§1030.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