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2903</w:t>
        <w:t xml:space="preserve">.  </w:t>
      </w:r>
      <w:r>
        <w:rPr>
          <w:b/>
        </w:rPr>
        <w:t xml:space="preserve">Temporary enforcement powers</w:t>
      </w:r>
    </w:p>
    <w:p>
      <w:pPr>
        <w:jc w:val="both"/>
        <w:spacing w:before="100" w:after="100"/>
        <w:ind w:start="360"/>
        <w:ind w:firstLine="360"/>
      </w:pPr>
      <w:r>
        <w:rPr/>
      </w:r>
      <w:r>
        <w:rPr/>
      </w:r>
      <w:r>
        <w:t xml:space="preserve">The Commissioner of Public Safety, at the commissioner's discretion, is authorized to grant statewide power of enforcement of the criminal laws of the State to county and municipal law enforcement officers, as defined in </w:t>
      </w:r>
      <w:r>
        <w:t>section 2801‑A, subsection 5</w:t>
      </w:r>
      <w:r>
        <w:t xml:space="preserve">, assigned to the Department of Public Safety for the duration of that assignment, according to procedures established for that purpose. That power may be granted only to county and municipal law enforcement officers who have completed a basic training course at the Maine Criminal Justice Academy or for whom the basic training course has been waived by the board of trustees of the academy because of equivalent training, as provided in </w:t>
      </w:r>
      <w:r>
        <w:t>section 2804‑C, subsection 1</w:t>
      </w:r>
      <w:r>
        <w:t xml:space="preserve"> or </w:t>
      </w:r>
      <w:r>
        <w:t>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317, Pt. E,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37 (NEW). PL 2009, c. 317, Pt. E,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§2903. Temporary enforcement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§2903. Temporary enforcement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§2903. TEMPORARY ENFORCEMENT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