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LIFE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MINORS</w:t>
      </w:r>
    </w:p>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NONFORFEITURE PROVISIONS</w:t>
      </w:r>
    </w:p>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VALUATION</w:t>
      </w:r>
    </w:p>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15.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