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4360</w:t>
        <w:t xml:space="preserve">.  </w:t>
      </w:r>
      <w:r>
        <w:rPr>
          <w:b/>
        </w:rPr>
        <w:t xml:space="preserve">Commencement of proceeding</w:t>
      </w:r>
    </w:p>
    <w:p>
      <w:pPr>
        <w:jc w:val="both"/>
        <w:spacing w:before="100" w:after="0"/>
        <w:ind w:start="360"/>
        <w:ind w:firstLine="360"/>
      </w:pPr>
      <w:r>
        <w:rPr>
          <w:b/>
        </w:rPr>
        <w:t>1</w:t>
        <w:t xml:space="preserve">.  </w:t>
      </w:r>
      <w:r>
        <w:rPr>
          <w:b/>
        </w:rPr>
      </w:r>
      <w:r>
        <w:t xml:space="preserve"> </w:t>
      </w:r>
      <w:r>
        <w:t xml:space="preserve">The superintendent shall commence a delinquency proceeding authorized under this chapter, the Attorney General representing him, by filing a petition in a court of proper jurisdiction praying for appointment of the superintendent as receiver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Upon the filing of the petition, the court shall issue an order directing the insurer to appear in court on the day fixed in the order and show cause why the petition should not be granted. Unless good cause is shown for a shorter period, the order shall require the insurer to so show cause not less than 15 or more than 30 days from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order to show cause and service thereof on the insurer shall constitute due and legal process and shall be in lieu of any other process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§4360. Commencement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§4360. Commencement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§4360. COMMENCEMENT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