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 PRESCRIPTION DRUG PRICING; MAXIMUM ALLOWABLE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