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4223</w:t>
        <w:t xml:space="preserve">.  </w:t>
      </w:r>
      <w:r>
        <w:rPr>
          <w:b/>
        </w:rPr>
        <w:t xml:space="preserve">Filings and reports as public documents</w:t>
      </w:r>
    </w:p>
    <w:p>
      <w:pPr>
        <w:jc w:val="both"/>
        <w:spacing w:before="100" w:after="100"/>
        <w:ind w:start="360"/>
        <w:ind w:firstLine="360"/>
      </w:pPr>
      <w:r>
        <w:rPr/>
      </w:r>
      <w:r>
        <w:rPr/>
      </w:r>
      <w:r>
        <w:t xml:space="preserve">All applications, filings and reports required under this chapter shall be treated as public documents subject to limitations and exceptions provided in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1985, c. 704,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§4223. Filings and reports as public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§4223. Filings and reports as public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§4223. FILINGS AND REPORTS AS PUBLIC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