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4222-B</w:t>
        <w:t xml:space="preserve">.  </w:t>
      </w:r>
      <w:r>
        <w:rPr>
          <w:b/>
        </w:rPr>
        <w:t xml:space="preserve">Applicability</w:t>
      </w:r>
    </w:p>
    <w:p>
      <w:pPr>
        <w:jc w:val="both"/>
        <w:spacing w:before="100" w:after="0"/>
        <w:ind w:start="360"/>
        <w:ind w:firstLine="360"/>
      </w:pPr>
      <w:r>
        <w:rPr>
          <w:b/>
        </w:rPr>
        <w:t>1</w:t>
        <w:t xml:space="preserve">.  </w:t>
      </w:r>
      <w:r>
        <w:rPr>
          <w:b/>
        </w:rPr>
      </w:r>
      <w:r>
        <w:t xml:space="preserve"> </w:t>
      </w:r>
      <w:r>
        <w:t xml:space="preserve">Every health maintenance organization licensed under this chapter is considered an insurer for purposes of those provisions of the insurance laws that do not expressly reference health maintenance organizations, but are applicable to health maintenance organizations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2</w:t>
        <w:t xml:space="preserve">.  </w:t>
      </w:r>
      <w:r>
        <w:rPr>
          <w:b/>
        </w:rPr>
      </w:r>
      <w:r>
        <w:t xml:space="preserve"> </w:t>
      </w:r>
      <w:r>
        <w:t xml:space="preserve">The requirements of </w:t>
      </w:r>
      <w:r>
        <w:t>chapter 36</w:t>
      </w:r>
      <w:r>
        <w:t xml:space="preserve">, continuity of health insurance coverage law,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3</w:t>
        <w:t xml:space="preserve">.  </w:t>
      </w:r>
      <w:r>
        <w:rPr>
          <w:b/>
        </w:rPr>
      </w:r>
      <w:r>
        <w:t xml:space="preserve"> </w:t>
      </w:r>
      <w:r>
        <w:t xml:space="preserve">The requirements of </w:t>
      </w:r>
      <w:r>
        <w:t>sections 2736‑C</w:t>
      </w:r>
      <w:r>
        <w:t xml:space="preserve"> and </w:t>
      </w:r>
      <w:r>
        <w:t>2808‑B</w:t>
      </w:r>
      <w:r>
        <w:t xml:space="preserve">, community rating law, apply to health maintenance organizations, except that a health maintenance organization is not required to offer coverage or accept applications from an eligible group or individual located outside the health maintenance organization's approved service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4</w:t>
        <w:t xml:space="preserve">.  </w:t>
      </w:r>
      <w:r>
        <w:rPr>
          <w:b/>
        </w:rPr>
      </w:r>
      <w:r>
        <w:t xml:space="preserve"> </w:t>
      </w:r>
      <w:r>
        <w:t xml:space="preserve">The requirements of </w:t>
      </w:r>
      <w:r>
        <w:t>chapter 23</w:t>
      </w:r>
      <w:r>
        <w:t xml:space="preserve"> and any rules adopted pursuant to it, to the extent not inconsistent with this chapter and the reasonable implications of this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5</w:t>
        <w:t xml:space="preserve">.  </w:t>
      </w:r>
      <w:r>
        <w:rPr>
          <w:b/>
        </w:rPr>
      </w:r>
      <w:r>
        <w:t xml:space="preserve"> </w:t>
      </w:r>
      <w:r>
        <w:t xml:space="preserve">The requirements of </w:t>
      </w:r>
      <w:r>
        <w:t>sections 221</w:t>
      </w:r>
      <w:r>
        <w:t xml:space="preserve"> to </w:t>
      </w:r>
      <w:r>
        <w:t>228</w:t>
      </w:r>
      <w:r>
        <w:t xml:space="preserve">, to the extent not inconsistent with this chapter and the reasonable implications of this chapter, apply to domestic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§12 (AMD).]</w:t>
      </w:r>
    </w:p>
    <w:p>
      <w:pPr>
        <w:jc w:val="both"/>
        <w:spacing w:before="100" w:after="0"/>
        <w:ind w:start="360"/>
        <w:ind w:firstLine="360"/>
      </w:pPr>
      <w:r>
        <w:rPr>
          <w:b/>
        </w:rPr>
        <w:t>6</w:t>
        <w:t xml:space="preserve">.  </w:t>
      </w:r>
      <w:r>
        <w:rPr>
          <w:b/>
        </w:rPr>
      </w:r>
      <w:r>
        <w:t xml:space="preserve"> </w:t>
      </w:r>
      <w:r>
        <w:t xml:space="preserve">The requirements of </w:t>
      </w:r>
      <w:r>
        <w:t>chapter 57, subchapters I</w:t>
      </w:r>
      <w:r>
        <w:t xml:space="preserve"> and </w:t>
      </w:r>
      <w:r>
        <w:t>II</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§6 (AMD).]</w:t>
      </w:r>
    </w:p>
    <w:p>
      <w:pPr>
        <w:jc w:val="both"/>
        <w:spacing w:before="100" w:after="0"/>
        <w:ind w:start="360"/>
        <w:ind w:firstLine="360"/>
      </w:pPr>
      <w:r>
        <w:rPr>
          <w:b/>
        </w:rPr>
        <w:t>7</w:t>
        <w:t xml:space="preserve">.  </w:t>
      </w:r>
      <w:r>
        <w:rPr>
          <w:b/>
        </w:rPr>
      </w:r>
      <w:r>
        <w:t xml:space="preserve"> </w:t>
      </w:r>
      <w:r>
        <w:t xml:space="preserve">The requirements of </w:t>
      </w:r>
      <w:r>
        <w:t>section 421</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§50 (AMD).]</w:t>
      </w:r>
    </w:p>
    <w:p>
      <w:pPr>
        <w:jc w:val="both"/>
        <w:spacing w:before="100" w:after="0"/>
        <w:ind w:start="360"/>
        <w:ind w:firstLine="360"/>
      </w:pPr>
      <w:r>
        <w:rPr>
          <w:b/>
        </w:rPr>
        <w:t>8</w:t>
        <w:t xml:space="preserve">.  </w:t>
      </w:r>
      <w:r>
        <w:rPr>
          <w:b/>
        </w:rPr>
      </w:r>
      <w:r>
        <w:t xml:space="preserve"> </w:t>
      </w:r>
      <w:r>
        <w:t xml:space="preserve">The requirements of </w:t>
      </w:r>
      <w:r>
        <w:t>chapter 32</w:t>
      </w:r>
      <w:r>
        <w:t xml:space="preserve">, the Preferred Provider Arrangement Act of 1986, apply to health maintenance organizations only with respect to activities that are not otherwise authorized by </w:t>
      </w:r>
      <w:r>
        <w:t>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§8 (NEW).]</w:t>
      </w:r>
    </w:p>
    <w:p>
      <w:pPr>
        <w:jc w:val="both"/>
        <w:spacing w:before="100" w:after="0"/>
        <w:ind w:start="360"/>
        <w:ind w:firstLine="360"/>
      </w:pPr>
      <w:r>
        <w:rPr>
          <w:b/>
        </w:rPr>
        <w:t>9</w:t>
        <w:t xml:space="preserve">.  </w:t>
      </w:r>
      <w:r>
        <w:rPr>
          <w:b/>
        </w:rPr>
      </w:r>
      <w:r>
        <w:t xml:space="preserve"> </w:t>
      </w:r>
      <w:r>
        <w:t xml:space="preserve">The requirements of </w:t>
      </w:r>
      <w:r>
        <w:t>chapter 56‑A</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§7 (NEW).]</w:t>
      </w:r>
    </w:p>
    <w:p>
      <w:pPr>
        <w:jc w:val="both"/>
        <w:spacing w:before="100" w:after="0"/>
        <w:ind w:start="360"/>
        <w:ind w:firstLine="360"/>
      </w:pPr>
      <w:r>
        <w:rPr>
          <w:b/>
        </w:rPr>
        <w:t>10</w:t>
        <w:t xml:space="preserve">.  </w:t>
      </w:r>
      <w:r>
        <w:rPr>
          <w:b/>
        </w:rPr>
      </w:r>
      <w:r>
        <w:t xml:space="preserve"> </w:t>
      </w:r>
      <w:r>
        <w:t xml:space="preserve">The requirements of </w:t>
      </w:r>
      <w:r>
        <w:t>section 237</w:t>
      </w:r>
      <w:r>
        <w:t xml:space="preserve"> apply to health maintenance organizations, including those operated and organized as a division or line of business of a nonprofit hospital,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§3 (NEW).]</w:t>
      </w:r>
    </w:p>
    <w:p>
      <w:pPr>
        <w:jc w:val="both"/>
        <w:spacing w:before="100" w:after="0"/>
        <w:ind w:start="360"/>
        <w:ind w:firstLine="360"/>
      </w:pPr>
      <w:r>
        <w:rPr>
          <w:b/>
        </w:rPr>
        <w:t>11</w:t>
        <w:t xml:space="preserve">.  </w:t>
      </w:r>
      <w:r>
        <w:rPr>
          <w:b/>
        </w:rPr>
      </w:r>
      <w:r>
        <w:t xml:space="preserve"> </w:t>
      </w:r>
      <w:r>
        <w:t xml:space="preserve">The requirements of </w:t>
      </w:r>
      <w:r>
        <w:t>sections 2834</w:t>
      </w:r>
      <w:r>
        <w:t xml:space="preserve"> and </w:t>
      </w:r>
      <w:r>
        <w:t>2834‑B</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§31 (NEW); PL 1997, c. 445, §32 (AFF).]</w:t>
      </w:r>
    </w:p>
    <w:p>
      <w:pPr>
        <w:jc w:val="both"/>
        <w:spacing w:before="100" w:after="0"/>
        <w:ind w:start="360"/>
        <w:ind w:firstLine="360"/>
      </w:pPr>
      <w:r>
        <w:rPr>
          <w:b/>
        </w:rPr>
        <w:t>12</w:t>
        <w:t xml:space="preserve">.  </w:t>
      </w:r>
      <w:r>
        <w:rPr>
          <w:b/>
        </w:rPr>
      </w:r>
      <w:r>
        <w:t xml:space="preserve"> </w:t>
      </w:r>
      <w:r>
        <w:t xml:space="preserve">The requirements of </w:t>
      </w:r>
      <w:r>
        <w:t>chapter 24</w:t>
      </w:r>
      <w:r>
        <w:t xml:space="preserve"> and any rules adopted pursuant to that chapter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§4 (NEW).]</w:t>
      </w:r>
    </w:p>
    <w:p>
      <w:pPr>
        <w:jc w:val="both"/>
        <w:spacing w:before="100" w:after="0"/>
        <w:ind w:start="360"/>
        <w:ind w:firstLine="360"/>
      </w:pPr>
      <w:r>
        <w:rPr>
          <w:b/>
        </w:rPr>
        <w:t>13</w:t>
        <w:t xml:space="preserve">.  </w:t>
      </w:r>
      <w:r>
        <w:rPr>
          <w:b/>
        </w:rPr>
      </w:r>
      <w:r>
        <w:t xml:space="preserve"> </w:t>
      </w:r>
      <w:r>
        <w:t xml:space="preserve">The requirements of </w:t>
      </w:r>
      <w:r>
        <w:t>sections 2436</w:t>
      </w:r>
      <w:r>
        <w:t xml:space="preserve"> and </w:t>
      </w:r>
      <w:r>
        <w:t>2436‑A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F, §1 (NEW).]</w:t>
      </w:r>
    </w:p>
    <w:p>
      <w:pPr>
        <w:jc w:val="both"/>
        <w:spacing w:before="100" w:after="0"/>
        <w:ind w:start="360"/>
        <w:ind w:firstLine="360"/>
      </w:pPr>
      <w:r>
        <w:rPr>
          <w:b/>
        </w:rPr>
        <w:t>14</w:t>
        <w:t xml:space="preserve">.  </w:t>
      </w:r>
      <w:r>
        <w:rPr>
          <w:b/>
        </w:rPr>
      </w:r>
      <w:r>
        <w:t xml:space="preserve"> </w:t>
      </w:r>
      <w:r>
        <w:t xml:space="preserve">The requirement of filing a report of experience of claims payment for substance use disorder treatment in the format prescribed by </w:t>
      </w:r>
      <w:r>
        <w:t>section 2842, subsection 9</w:t>
      </w:r>
      <w:r>
        <w:t xml:space="preserve">; for chiropractic services in the format prescribed by </w:t>
      </w:r>
      <w:r>
        <w:t>section 2748, subsection 3</w:t>
      </w:r>
      <w:r>
        <w:t xml:space="preserve"> and </w:t>
      </w:r>
      <w:r>
        <w:t>section 2840‑A, subsection 3</w:t>
      </w:r>
      <w:r>
        <w:t xml:space="preserve">; and for breast cancer screening services in the format prescribed by </w:t>
      </w:r>
      <w:r>
        <w:t>section 2745‑A, subsection 4</w:t>
      </w:r>
      <w:r>
        <w:t xml:space="preserve"> and </w:t>
      </w:r>
      <w:r>
        <w:t>section 2837‑A, subsection 4</w:t>
      </w:r>
      <w:r>
        <w:t xml:space="preserve">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§97 (AMD).]</w:t>
      </w:r>
    </w:p>
    <w:p>
      <w:pPr>
        <w:jc w:val="both"/>
        <w:spacing w:before="100" w:after="0"/>
        <w:ind w:start="360"/>
        <w:ind w:firstLine="360"/>
      </w:pPr>
      <w:r>
        <w:rPr>
          <w:b/>
        </w:rPr>
        <w:t>15</w:t>
        <w:t xml:space="preserve">.  </w:t>
      </w:r>
      <w:r>
        <w:rPr>
          <w:b/>
        </w:rPr>
      </w:r>
      <w:r>
        <w:t xml:space="preserve"> </w:t>
      </w:r>
      <w:r>
        <w:t xml:space="preserve">The requirements of </w:t>
      </w:r>
      <w:r>
        <w:t>section 415‑A</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15</w:t>
        <w:t xml:space="preserve">.  </w:t>
      </w:r>
      <w:r>
        <w:rPr>
          <w:b/>
        </w:rPr>
        <w:t>(REALLOCATED TO T. 24-A, §4222-B, sub-§20)</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16</w:t>
        <w:t xml:space="preserve">.  </w:t>
      </w:r>
      <w:r>
        <w:rPr>
          <w:b/>
        </w:rPr>
      </w:r>
      <w:r>
        <w:t xml:space="preserve"> </w:t>
      </w:r>
      <w:r>
        <w:t xml:space="preserve">The requirements of </w:t>
      </w:r>
      <w:r>
        <w:t>sections 3483</w:t>
      </w:r>
      <w:r>
        <w:t xml:space="preserve"> and </w:t>
      </w:r>
      <w:r>
        <w:t>3484</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88, §7 (NEW).]</w:t>
      </w:r>
    </w:p>
    <w:p>
      <w:pPr>
        <w:jc w:val="both"/>
        <w:spacing w:before="100" w:after="0"/>
        <w:ind w:start="360"/>
        <w:ind w:firstLine="360"/>
      </w:pPr>
      <w:r>
        <w:rPr>
          <w:b/>
        </w:rPr>
        <w:t>17</w:t>
        <w:t xml:space="preserve">.  </w:t>
      </w:r>
      <w:r>
        <w:rPr>
          <w:b/>
        </w:rPr>
      </w:r>
      <w:r>
        <w:t xml:space="preserve"> </w:t>
      </w:r>
      <w:r>
        <w:t>Section 2803‑A</w:t>
      </w:r>
      <w:r>
        <w:t xml:space="preserve">, relating to disclosure of loss information,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18</w:t>
        <w:t xml:space="preserve">.  </w:t>
      </w:r>
      <w:r>
        <w:rPr>
          <w:b/>
        </w:rPr>
      </w:r>
      <w:r>
        <w:t xml:space="preserve"> </w:t>
      </w:r>
      <w:r>
        <w:t xml:space="preserve">The requirement of </w:t>
      </w:r>
      <w:r>
        <w:t>section 2809‑A, subsection 11</w:t>
      </w:r>
      <w:r>
        <w:t xml:space="preserve"> to continue group coverage under certain circumstances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19</w:t>
        <w:t xml:space="preserve">.  </w:t>
      </w:r>
      <w:r>
        <w:rPr>
          <w:b/>
        </w:rPr>
      </w:r>
      <w:r>
        <w:t xml:space="preserve"> </w:t>
      </w:r>
      <w:r>
        <w:t>Section 12‑A</w:t>
      </w:r>
      <w:r>
        <w:t xml:space="preserve">, relating to penalties,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B, §3 (NEW).]</w:t>
      </w:r>
    </w:p>
    <w:p>
      <w:pPr>
        <w:jc w:val="both"/>
        <w:spacing w:before="100" w:after="0"/>
        <w:ind w:start="360"/>
        <w:ind w:firstLine="360"/>
      </w:pPr>
      <w:r>
        <w:rPr>
          <w:b/>
        </w:rPr>
        <w:t>20</w:t>
        <w:t xml:space="preserve">.  </w:t>
      </w:r>
      <w:r>
        <w:rPr>
          <w:b/>
        </w:rPr>
        <w:t>(REALLOCATED FROM T. 24-A, §4222-B, sub-§15)</w:t>
        <w:t xml:space="preserve"> </w:t>
      </w:r>
      <w:r>
        <w:rPr>
          <w:b/>
        </w:rPr>
      </w:r>
      <w:r>
        <w:t xml:space="preserve"> </w:t>
      </w:r>
      <w:r>
        <w:t>Sections 2735‑A</w:t>
      </w:r>
      <w:r>
        <w:t xml:space="preserve"> and </w:t>
      </w:r>
      <w:r>
        <w:t>2839‑A</w:t>
      </w:r>
      <w:r>
        <w:t xml:space="preserve">, relating to notice of rate filings and rate increases,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§35 (RAL).]</w:t>
      </w:r>
    </w:p>
    <w:p>
      <w:pPr>
        <w:jc w:val="both"/>
        <w:spacing w:before="100" w:after="0"/>
        <w:ind w:start="360"/>
        <w:ind w:firstLine="360"/>
      </w:pPr>
      <w:r>
        <w:rPr>
          <w:b/>
        </w:rPr>
        <w:t>21</w:t>
        <w:t xml:space="preserve">.  </w:t>
      </w:r>
      <w:r>
        <w:rPr>
          <w:b/>
        </w:rPr>
      </w:r>
      <w:r>
        <w:t xml:space="preserve"> </w:t>
      </w:r>
      <w:r>
        <w:t>Section 2723‑A, subsection 3</w:t>
      </w:r>
      <w:r>
        <w:t xml:space="preserve"> and </w:t>
      </w:r>
      <w:r>
        <w:t>section 2844, subsection 3</w:t>
      </w:r>
      <w:r>
        <w:t xml:space="preserve">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§4 (NEW).]</w:t>
      </w:r>
    </w:p>
    <w:p>
      <w:pPr>
        <w:jc w:val="both"/>
        <w:spacing w:before="100" w:after="0"/>
        <w:ind w:start="360"/>
        <w:ind w:firstLine="360"/>
      </w:pPr>
      <w:r>
        <w:rPr>
          <w:b/>
        </w:rPr>
        <w:t>22</w:t>
        <w:t xml:space="preserve">.  </w:t>
      </w:r>
      <w:r>
        <w:rPr>
          <w:b/>
        </w:rPr>
      </w:r>
      <w:r>
        <w:t xml:space="preserve"> </w:t>
      </w:r>
      <w:r>
        <w:t>Sections 2713‑A</w:t>
      </w:r>
      <w:r>
        <w:t xml:space="preserve"> and </w:t>
      </w:r>
      <w:r>
        <w:t>2823‑A</w:t>
      </w:r>
      <w:r>
        <w:t xml:space="preserve">, relating to explanation and notice to parents, apply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§3 (NEW).]</w:t>
      </w:r>
    </w:p>
    <w:p>
      <w:pPr>
        <w:jc w:val="both"/>
        <w:spacing w:before="100" w:after="0"/>
        <w:ind w:start="360"/>
        <w:ind w:firstLine="360"/>
      </w:pPr>
      <w:r>
        <w:rPr>
          <w:b/>
        </w:rPr>
        <w:t>23</w:t>
        <w:t xml:space="preserve">.  </w:t>
      </w:r>
      <w:r>
        <w:rPr>
          <w:b/>
        </w:rPr>
      </w:r>
      <w:r>
        <w:t xml:space="preserve"> </w:t>
      </w:r>
      <w:r>
        <w:t>Section 423‑C</w:t>
      </w:r>
      <w:r>
        <w:t xml:space="preserve">, relating to reporting of material investment and reinsurance transactions,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w:pPr>
        <w:jc w:val="both"/>
        <w:spacing w:before="100" w:after="0"/>
        <w:ind w:start="360"/>
        <w:ind w:firstLine="360"/>
      </w:pPr>
      <w:r>
        <w:rPr>
          <w:b/>
        </w:rPr>
        <w:t>24</w:t>
        <w:t xml:space="preserve">.  </w:t>
      </w:r>
      <w:r>
        <w:rPr>
          <w:b/>
        </w:rPr>
      </w:r>
      <w:r>
        <w:t xml:space="preserve"> </w:t>
      </w:r>
      <w:r>
        <w:t>Section 423‑G</w:t>
      </w:r>
      <w:r>
        <w:t xml:space="preserve">, relating to corporate governance annual disclosure filings, applies to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§O8 (NEW). PL 1995, c. 673, §D7 (AMD). PL 1997, c. 79, §3 (AMD). PL 1997, c. 445, §31 (AMD). PL 1997, c. 445, §32 (AFF). PL 1997, c. 457, §50 (AMD). PL 1997, c. 677, §4 (AMD). PL 1999, c. 256, §F1 (AMD). RR 2001, c. 1, §35 (COR). PL 2001, c. 88, §§6,7 (AMD). PL 2001, c. 258, §G3 (AMD). PL 2001, c. 410, §B3 (AMD). PL 2001, c. 432, §8 (AMD). PL 2005, c. 121, §D4 (AMD). PL 2009, c. 244, Pt. B, §3 (AMD). PL 2017, c. 169, Pt. A, §§12, 13 (AMD). PL 2017, c. 407, Pt. A,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§4222-B.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§4222-B.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§4222-B.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