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4132</w:t>
        <w:t xml:space="preserve">.  </w:t>
      </w:r>
      <w:r>
        <w:rPr>
          <w:b/>
        </w:rPr>
        <w:t xml:space="preserve">Funds</w:t>
      </w:r>
    </w:p>
    <w:p>
      <w:pPr>
        <w:jc w:val="both"/>
        <w:spacing w:before="100" w:after="100"/>
        <w:ind w:start="360"/>
        <w:ind w:firstLine="360"/>
      </w:pPr>
      <w:r>
        <w:rPr/>
      </w:r>
      <w:r>
        <w:rPr/>
      </w:r>
      <w:r>
        <w:t xml:space="preserve">All assets shall be held, invested and disbursed for the use and benefit of the society and no member or beneficiary shall have or acquire individual rights therein or become entitled to any apportionment or the surrender of any part thereof, except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may create, maintain, invest, disburse and apply any special fund or funds necessary to carry out any purpose permitted by the laws of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Every society, the admitted assets of which are less than the sum of its accrued liabilities and reserves under all of its certificates when valued according to standards required for certificates issued after one year from the effective date of this chapter, shall, in every provision of the laws of the society for payments by members of such society, in whatever form made, distinctly state the purpose of the same and the proportion thereof which may be used for expenses, and no part of the money collected for mortuary or disability purposes or the net accretions thereto shall be used for expenses.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§4132.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§4132.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§4132.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