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3158</w:t>
        <w:t xml:space="preserve">.  </w:t>
      </w:r>
      <w:r>
        <w:rPr>
          <w:b/>
        </w:rPr>
        <w:t xml:space="preserve">Insurance producer requirements</w:t>
      </w:r>
    </w:p>
    <w:p>
      <w:pPr>
        <w:jc w:val="both"/>
        <w:spacing w:before="100" w:after="0"/>
        <w:ind w:start="360"/>
        <w:ind w:firstLine="360"/>
      </w:pPr>
      <w:r>
        <w:rPr>
          <w:b/>
        </w:rPr>
        <w:t>1</w:t>
        <w:t xml:space="preserve">.  </w:t>
      </w:r>
      <w:r>
        <w:rPr>
          <w:b/>
        </w:rPr>
        <w:t xml:space="preserve">Training.</w:t>
        <w:t xml:space="preserve"> </w:t>
      </w:r>
      <w:r>
        <w:t xml:space="preserve"> </w:t>
      </w:r>
      <w:r>
        <w:t xml:space="preserve">An insurance producer may not sell, solicit or negotiate a pet insurance product until after the producer is appropriately licensed and has completed the required training identified in </w:t>
      </w:r>
      <w:r>
        <w:t>subsection 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shall ensure that any producer holding an appointment has been appropriately trained on the features of any pet insurance product offered by the producer.  The training required under this subsection must include information on the following topics:</w:t>
      </w:r>
    </w:p>
    <w:p>
      <w:pPr>
        <w:jc w:val="both"/>
        <w:spacing w:before="100" w:after="0"/>
        <w:ind w:start="720"/>
      </w:pPr>
      <w:r>
        <w:rPr/>
        <w:t>A</w:t>
        <w:t xml:space="preserve">.  </w:t>
      </w:r>
      <w:r>
        <w:rPr/>
      </w:r>
      <w:r>
        <w:t xml:space="preserve">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differences between pet insurance and noninsurance wellness programs;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Hereditary disorders, congenital anomalies or disorders and chronic conditions and how pet insurance policies interact with those conditions or disorders;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Rating, underwriting, renewal and other related administrative topics.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License.</w:t>
        <w:t xml:space="preserve"> </w:t>
      </w:r>
      <w:r>
        <w:t xml:space="preserve"> </w:t>
      </w:r>
      <w:r>
        <w:t xml:space="preserve">Notwithstanding any provision of this Title to the contrary, a person licensed in any of the following lines of authority may sell, solicit and negotiate pet insurance:</w:t>
      </w:r>
    </w:p>
    <w:p>
      <w:pPr>
        <w:jc w:val="both"/>
        <w:spacing w:before="100" w:after="0"/>
        <w:ind w:start="720"/>
      </w:pPr>
      <w:r>
        <w:rPr/>
        <w:t>A</w:t>
        <w:t xml:space="preserve">.  </w:t>
      </w:r>
      <w:r>
        <w:rPr/>
      </w:r>
      <w:r>
        <w:t xml:space="preserve">Property;</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B</w:t>
        <w:t xml:space="preserve">.  </w:t>
      </w:r>
      <w:r>
        <w:rPr/>
      </w:r>
      <w:r>
        <w:t xml:space="preserve">Accident and health or sickness; or</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C</w:t>
        <w:t xml:space="preserve">.  </w:t>
      </w:r>
      <w:r>
        <w:rPr/>
      </w:r>
      <w:r>
        <w:t xml:space="preserve">Personal lines.</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PL 2023,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§3158. Insurance producer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§3158. Insurance producer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§3158. INSURANCE PRODUCER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