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Exemption of proceeds, individual annuity contracts; assignability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§2431. EXEMPTION OF PROCEEDS, INDIVIDUAL ANNUITY CONTRACTS; ASSIGNABILITY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