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2384</w:t>
        <w:t xml:space="preserve">.  </w:t>
      </w:r>
      <w:r>
        <w:rPr>
          <w:b/>
        </w:rPr>
        <w:t xml:space="preserve">Workers' compensation advisory organizations</w:t>
      </w:r>
    </w:p>
    <w:p>
      <w:pPr>
        <w:jc w:val="both"/>
        <w:spacing w:before="100" w:after="100"/>
        <w:ind w:start="360"/>
        <w:ind w:firstLine="360"/>
      </w:pPr>
      <w:r>
        <w:rPr/>
      </w:r>
      <w:r>
        <w:rPr/>
      </w:r>
      <w:r>
        <w:t>Sections 2321‑A</w:t>
      </w:r>
      <w:r>
        <w:t xml:space="preserve"> to </w:t>
      </w:r>
      <w:r>
        <w:t>2321‑D</w:t>
      </w:r>
      <w:r>
        <w:t xml:space="preserve"> apply to workers' compensation insurers and advisory organizations to the extent not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§2384. Workers' compensation advisory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§2384. Workers' compensation advisory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§2384. WORKERS' COMPENSATION ADVISORY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