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2415</w:t>
        <w:t xml:space="preserve">.  </w:t>
      </w:r>
      <w:r>
        <w:rPr>
          <w:b/>
        </w:rPr>
        <w:t xml:space="preserve">Charter, bylaw provisions</w:t>
      </w:r>
    </w:p>
    <w:p>
      <w:pPr>
        <w:jc w:val="both"/>
        <w:spacing w:before="100" w:after="100"/>
        <w:ind w:start="360"/>
        <w:ind w:firstLine="360"/>
      </w:pPr>
      <w:r>
        <w:rPr/>
      </w:r>
      <w:r>
        <w:rPr/>
      </w:r>
      <w:r>
        <w:t xml:space="preserve">No policy shall contain any provision purporting to make any portion of the charter, bylaws or other constituent document of the insurer (other than the subscriber's agreement or power of attorney of a reciprocal insurer) a part of the contract unless such portion is set forth in full in the policy. Any policy provision in violation of this section shall be invalid.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§2415. Charter, bylaw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§2415. Charter, bylaw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§2415. CHARTER, BYLAW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