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 WITNESSES;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