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§7007. Penalty for being on track or bridge or entering track with team 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Penalty for being on track or bridge or entering track with team 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§7007. PENALTY FOR BEING ON TRACK OR BRIDGE OR ENTERING TRACK WITH TEAM 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