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788, §98 (AMD). PL 1973, c. 793, §11 (RPR). P&amp;SL 1975, c. 90, §§SEC.C,5 (AMD). PL 1975, c. 530 (AMD). PL 1977, c. 78, §151 (AMD). PL 1977, c. 480, §§1,2 (AMD). PL 1977, c. 696, §192 (AMD). PL 1979, c. 541, §A154 (AMD). PL 1981, c. 72, §§1-3 (AMD). PL 1981, c. 463, §D2 (AMD). PL 1981, c. 703, §A31 (AMD). PL 1985, c. 89 (AMD). PL 1989, c. 68, §C3 (AMD). PL 1989, c. 502, §A78 (AMD). PL 1989, c. 679, §3 (AMD). PL 1989, c. 702, §E11 (AMD). PL 1991, c. 408 (AMD). PL 1991, c. 548, §§A20,21 (AMD). PL 1991, c. 622, §QQ3 (AMD). PL 1991, c. 622, §S30 (RP). PL 1993, c. 349, §76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