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372</w:t>
        <w:t xml:space="preserve">.  </w:t>
      </w:r>
      <w:r>
        <w:rPr>
          <w:b/>
        </w:rPr>
        <w:t xml:space="preserve">Review of proposed material change transactions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1/01/27)</w:t>
      </w:r>
    </w:p>
    <w:p>
      <w:pPr>
        <w:jc w:val="both"/>
        <w:spacing w:before="100" w:after="100"/>
        <w:ind w:start="360"/>
        <w:ind w:firstLine="360"/>
      </w:pPr>
      <w:r>
        <w:rPr>
          <w:b/>
        </w:rPr>
        <w:t>1</w:t>
        <w:t xml:space="preserve">.  </w:t>
      </w:r>
      <w:r>
        <w:rPr>
          <w:b/>
        </w:rPr>
        <w:t xml:space="preserve">Notice.</w:t>
        <w:t xml:space="preserve"> </w:t>
      </w:r>
      <w:r>
        <w:t xml:space="preserve"> </w:t>
      </w:r>
      <w:r>
        <w:t xml:space="preserve">This subsection governs notice regarding material change transactions.</w:t>
      </w:r>
    </w:p>
    <w:p>
      <w:pPr>
        <w:jc w:val="both"/>
        <w:spacing w:before="100" w:after="0"/>
        <w:ind w:start="720"/>
      </w:pPr>
      <w:r>
        <w:rPr/>
        <w:t>A</w:t>
        <w:t xml:space="preserve">.  </w:t>
      </w:r>
      <w:r>
        <w:rPr/>
      </w:r>
      <w:r>
        <w:t xml:space="preserve">A health care entity shall, before completing any material change transaction, file written notice, as provided in </w:t>
      </w:r>
      <w:r>
        <w:t>paragraph B</w:t>
      </w:r>
      <w:r>
        <w:t xml:space="preserve">, with the department not fewer than 180 days before the date of the proposed material change transaction.</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B</w:t>
        <w:t xml:space="preserve">.  </w:t>
      </w:r>
      <w:r>
        <w:rPr/>
      </w:r>
      <w:r>
        <w:t xml:space="preserve">The notice of the proposed material change transaction must include:</w:t>
      </w:r>
    </w:p>
    <w:p>
      <w:pPr>
        <w:jc w:val="both"/>
        <w:spacing w:before="100" w:after="0"/>
        <w:ind w:start="1080"/>
      </w:pPr>
      <w:r>
        <w:rPr/>
        <w:t>(</w:t>
        <w:t>1</w:t>
        <w:t xml:space="preserve">)  </w:t>
      </w:r>
      <w:r>
        <w:rPr/>
      </w:r>
      <w:r>
        <w:t xml:space="preserve">A list of the parties, the terms of the proposed transaction and copies of all transaction agreements between any of the parties;</w:t>
      </w:r>
    </w:p>
    <w:p>
      <w:pPr>
        <w:jc w:val="both"/>
        <w:spacing w:before="100" w:after="0"/>
        <w:ind w:start="1080"/>
      </w:pPr>
      <w:r>
        <w:rPr/>
        <w:t>(</w:t>
        <w:t>2</w:t>
        <w:t xml:space="preserve">)  </w:t>
      </w:r>
      <w:r>
        <w:rPr/>
      </w:r>
      <w:r>
        <w:t xml:space="preserve">A statement describing the goals of the proposed transaction and whether and how the proposed transaction affects health care services in the State;</w:t>
      </w:r>
    </w:p>
    <w:p>
      <w:pPr>
        <w:jc w:val="both"/>
        <w:spacing w:before="100" w:after="0"/>
        <w:ind w:start="1080"/>
      </w:pPr>
      <w:r>
        <w:rPr/>
        <w:t>(</w:t>
        <w:t>3</w:t>
        <w:t xml:space="preserve">)  </w:t>
      </w:r>
      <w:r>
        <w:rPr/>
      </w:r>
      <w:r>
        <w:t xml:space="preserve">The geographic service area of any hospital affected by the proposed transaction;</w:t>
      </w:r>
    </w:p>
    <w:p>
      <w:pPr>
        <w:jc w:val="both"/>
        <w:spacing w:before="100" w:after="0"/>
        <w:ind w:start="1080"/>
      </w:pPr>
      <w:r>
        <w:rPr/>
        <w:t>(</w:t>
        <w:t>4</w:t>
        <w:t xml:space="preserve">)  </w:t>
      </w:r>
      <w:r>
        <w:rPr/>
      </w:r>
      <w:r>
        <w:t xml:space="preserve">A description of the groups or individuals likely to be affected by the transaction; and</w:t>
      </w:r>
    </w:p>
    <w:p>
      <w:pPr>
        <w:jc w:val="both"/>
        <w:spacing w:before="100" w:after="0"/>
        <w:ind w:start="1080"/>
      </w:pPr>
      <w:r>
        <w:rPr/>
        <w:t>(</w:t>
        <w:t>5</w:t>
        <w:t xml:space="preserve">)  </w:t>
      </w:r>
      <w:r>
        <w:rPr/>
      </w:r>
      <w:r>
        <w:t xml:space="preserve">A summary of the health care services currently provided by any of the parties and any health care services that will be added, reduced or eliminated, including an explanation of why any services will be reduced or eliminated in the service area in which they are currently provided.</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C</w:t>
        <w:t xml:space="preserve">.  </w:t>
      </w:r>
      <w:r>
        <w:rPr/>
      </w:r>
      <w:r>
        <w:t xml:space="preserve">All the information provided by the submitter as part of the notice under this subsection is public unless the submitter requests that the information be designated as confidential and the department determines that it contains proprietary information, in which case it is confidential.  The department may not disclose confidential information that is obtained under this chapter in relation to a material change transaction, except that the department may exchange confidential information with the Office of Affordable Health Care, established under </w:t>
      </w:r>
      <w:r>
        <w:t>Title 5, section 3122, subsection 1</w:t>
      </w:r>
      <w:r>
        <w:t xml:space="preserve">, necessary for the office to exercise its authority under this chapter and may disclose information in accordance with </w:t>
      </w:r>
      <w:r>
        <w:t>subsection 3, paragraph D</w:t>
      </w:r>
      <w:r>
        <w:t xml:space="preserve">.  For purposes of this section, "proprietary information" means information that is a trade secret or production, commercial or financial information the disclosure of which would impair the competitive position of the health care entity and would make available information that is not otherwise public.</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D</w:t>
        <w:t xml:space="preserve">.  </w:t>
      </w:r>
      <w:r>
        <w:rPr/>
      </w:r>
      <w:r>
        <w:t xml:space="preserve">Within 10 days of receiving written notice of a material change transaction, the department shall post on its publicly accessible website information about the material change transaction, including:</w:t>
      </w:r>
    </w:p>
    <w:p>
      <w:pPr>
        <w:jc w:val="both"/>
        <w:spacing w:before="100" w:after="0"/>
        <w:ind w:start="1080"/>
      </w:pPr>
      <w:r>
        <w:rPr/>
        <w:t>(</w:t>
        <w:t>1</w:t>
        <w:t xml:space="preserve">)  </w:t>
      </w:r>
      <w:r>
        <w:rPr/>
      </w:r>
      <w:r>
        <w:t xml:space="preserve">A summary of the proposed transaction, including the identities of the parties to the transaction;</w:t>
      </w:r>
    </w:p>
    <w:p>
      <w:pPr>
        <w:jc w:val="both"/>
        <w:spacing w:before="100" w:after="0"/>
        <w:ind w:start="1080"/>
      </w:pPr>
      <w:r>
        <w:rPr/>
        <w:t>(</w:t>
        <w:t>2</w:t>
        <w:t xml:space="preserve">)  </w:t>
      </w:r>
      <w:r>
        <w:rPr/>
      </w:r>
      <w:r>
        <w:t xml:space="preserve">An explanation of the groups or individuals likely to be affected by the transaction;</w:t>
      </w:r>
    </w:p>
    <w:p>
      <w:pPr>
        <w:jc w:val="both"/>
        <w:spacing w:before="100" w:after="0"/>
        <w:ind w:start="1080"/>
      </w:pPr>
      <w:r>
        <w:rPr/>
        <w:t>(</w:t>
        <w:t>3</w:t>
        <w:t xml:space="preserve">)  </w:t>
      </w:r>
      <w:r>
        <w:rPr/>
      </w:r>
      <w:r>
        <w:t xml:space="preserve">Information about services currently provided by the health care entity, commitments made by the health care entity to continue such services and any services to be reduced or eliminated;</w:t>
      </w:r>
    </w:p>
    <w:p>
      <w:pPr>
        <w:jc w:val="both"/>
        <w:spacing w:before="100" w:after="0"/>
        <w:ind w:start="1080"/>
      </w:pPr>
      <w:r>
        <w:rPr/>
        <w:t>(</w:t>
        <w:t>4</w:t>
        <w:t xml:space="preserve">)  </w:t>
      </w:r>
      <w:r>
        <w:rPr/>
      </w:r>
      <w:r>
        <w:t xml:space="preserve">Details about any public hearings and how to submit comments; and</w:t>
      </w:r>
    </w:p>
    <w:p>
      <w:pPr>
        <w:jc w:val="both"/>
        <w:spacing w:before="100" w:after="0"/>
        <w:ind w:start="1080"/>
      </w:pPr>
      <w:r>
        <w:rPr/>
        <w:t>(</w:t>
        <w:t>5</w:t>
        <w:t xml:space="preserve">)  </w:t>
      </w:r>
      <w:r>
        <w:rPr/>
      </w:r>
      <w:r>
        <w:t xml:space="preserve">Any other information from the notice and other materials submitted by the health care entity that the department determines would be in the public interest, except for materials designated confidential under </w:t>
      </w:r>
      <w:r>
        <w:t>paragraph C</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E</w:t>
        <w:t xml:space="preserve">.  </w:t>
      </w:r>
      <w:r>
        <w:rPr/>
      </w:r>
      <w:r>
        <w:t xml:space="preserve">For purposes of calculating time periods pursuant to this subsection, notice is considered received on the first business day after the department determines that notice is complete.</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w:pPr>
        <w:jc w:val="both"/>
        <w:spacing w:before="100" w:after="100"/>
        <w:ind w:start="360"/>
        <w:ind w:firstLine="360"/>
      </w:pPr>
      <w:r>
        <w:rPr>
          <w:b/>
        </w:rPr>
        <w:t>2</w:t>
        <w:t xml:space="preserve">.  </w:t>
      </w:r>
      <w:r>
        <w:rPr>
          <w:b/>
        </w:rPr>
        <w:t xml:space="preserve">Preliminary review.</w:t>
        <w:t xml:space="preserve"> </w:t>
      </w:r>
      <w:r>
        <w:t xml:space="preserve"> </w:t>
      </w:r>
      <w:r>
        <w:t xml:space="preserve">This subsection governs preliminary reviews of material change transactions.</w:t>
      </w:r>
    </w:p>
    <w:p>
      <w:pPr>
        <w:jc w:val="both"/>
        <w:spacing w:before="100" w:after="0"/>
        <w:ind w:start="720"/>
      </w:pPr>
      <w:r>
        <w:rPr/>
        <w:t>A</w:t>
        <w:t xml:space="preserve">.  </w:t>
      </w:r>
      <w:r>
        <w:rPr/>
      </w:r>
      <w:r>
        <w:t xml:space="preserve">Within 60 days after receiving a notice described in </w:t>
      </w:r>
      <w:r>
        <w:t>subsection 1</w:t>
      </w:r>
      <w:r>
        <w:t xml:space="preserve">, the department, in consultation with the Office of Affordable Health Care, shall:</w:t>
      </w:r>
    </w:p>
    <w:p>
      <w:pPr>
        <w:jc w:val="both"/>
        <w:spacing w:before="100" w:after="0"/>
        <w:ind w:start="1080"/>
      </w:pPr>
      <w:r>
        <w:rPr/>
        <w:t>(</w:t>
        <w:t>1</w:t>
        <w:t xml:space="preserve">)  </w:t>
      </w:r>
      <w:r>
        <w:rPr/>
      </w:r>
      <w:r>
        <w:t xml:space="preserve">Approve the material change transaction and notify the health care entity in writing that a comprehensive review is not required for the material change transaction;</w:t>
      </w:r>
    </w:p>
    <w:p>
      <w:pPr>
        <w:jc w:val="both"/>
        <w:spacing w:before="100" w:after="0"/>
        <w:ind w:start="1080"/>
      </w:pPr>
      <w:r>
        <w:rPr/>
        <w:t>(</w:t>
        <w:t>2</w:t>
        <w:t xml:space="preserve">)  </w:t>
      </w:r>
      <w:r>
        <w:rPr/>
      </w:r>
      <w:r>
        <w:t xml:space="preserve">Approve the material change transaction subject to conditions set by the department and notify the health care entity in writing of the conditions under which the material change transaction may be completed; or</w:t>
      </w:r>
    </w:p>
    <w:p>
      <w:pPr>
        <w:jc w:val="both"/>
        <w:spacing w:before="100" w:after="0"/>
        <w:ind w:start="1080"/>
      </w:pPr>
      <w:r>
        <w:rPr/>
        <w:t>(</w:t>
        <w:t>3</w:t>
        <w:t xml:space="preserve">)  </w:t>
      </w:r>
      <w:r>
        <w:rPr/>
      </w:r>
      <w:r>
        <w:t xml:space="preserve">Notify the health care entity in writing that the transaction is subject to a comprehensive review.  The department may request additional information necessary to perform a comprehensive review under </w:t>
      </w:r>
      <w:r>
        <w:t>subsection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B</w:t>
        <w:t xml:space="preserve">.  </w:t>
      </w:r>
      <w:r>
        <w:rPr/>
      </w:r>
      <w:r>
        <w:t xml:space="preserve">A comprehensive review under </w:t>
      </w:r>
      <w:r>
        <w:t>subsection 3</w:t>
      </w:r>
      <w:r>
        <w:t xml:space="preserve"> is required when any of the following applies to the material change transaction:</w:t>
      </w:r>
    </w:p>
    <w:p>
      <w:pPr>
        <w:jc w:val="both"/>
        <w:spacing w:before="100" w:after="0"/>
        <w:ind w:start="1080"/>
      </w:pPr>
      <w:r>
        <w:rPr/>
        <w:t>(</w:t>
        <w:t>1</w:t>
        <w:t xml:space="preserve">)  </w:t>
      </w:r>
      <w:r>
        <w:rPr/>
      </w:r>
      <w:r>
        <w:t xml:space="preserve">The material change transaction will result in the transfer of assets valued over $100,000,000;</w:t>
      </w:r>
    </w:p>
    <w:p>
      <w:pPr>
        <w:jc w:val="both"/>
        <w:spacing w:before="100" w:after="0"/>
        <w:ind w:start="1080"/>
      </w:pPr>
      <w:r>
        <w:rPr/>
        <w:t>(</w:t>
        <w:t>2</w:t>
        <w:t xml:space="preserve">)  </w:t>
      </w:r>
      <w:r>
        <w:rPr/>
      </w:r>
      <w:r>
        <w:t xml:space="preserve">The material change transaction will lessen competition, including through the effects of vertical or cross-market transactions among different product or geographic markets; and</w:t>
      </w:r>
    </w:p>
    <w:p>
      <w:pPr>
        <w:jc w:val="both"/>
        <w:spacing w:before="100" w:after="0"/>
        <w:ind w:start="1080"/>
      </w:pPr>
      <w:r>
        <w:rPr/>
        <w:t>(</w:t>
        <w:t>3</w:t>
        <w:t xml:space="preserve">)  </w:t>
      </w:r>
      <w:r>
        <w:rPr/>
      </w:r>
      <w:r>
        <w:t xml:space="preserve">The department, at its sole discretion, determines that the material change transaction is likely to have a material impact on the cost, quality or equity of or access to health care services in any region in the State.</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C</w:t>
        <w:t xml:space="preserve">.  </w:t>
      </w:r>
      <w:r>
        <w:rPr/>
      </w:r>
      <w:r>
        <w:t xml:space="preserve">This section does not limit or infringe upon the existing authority of any state agency, including the department, the Department of Professional and Financial Regulation and the Department of the Attorney General, to review any transactions.</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D</w:t>
        <w:t xml:space="preserve">.  </w:t>
      </w:r>
      <w:r>
        <w:rPr/>
      </w:r>
      <w:r>
        <w:t xml:space="preserve">The department shall review a proposed material change transaction under this chapter concurrently with any review required pursuant to </w:t>
      </w:r>
      <w:r>
        <w:t>chapter 103‑A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w:pPr>
        <w:jc w:val="both"/>
        <w:spacing w:before="100" w:after="100"/>
        <w:ind w:start="360"/>
        <w:ind w:firstLine="360"/>
      </w:pPr>
      <w:r>
        <w:rPr>
          <w:b/>
        </w:rPr>
        <w:t>3</w:t>
        <w:t xml:space="preserve">.  </w:t>
      </w:r>
      <w:r>
        <w:rPr>
          <w:b/>
        </w:rPr>
        <w:t xml:space="preserve">Comprehensive review process.</w:t>
        <w:t xml:space="preserve"> </w:t>
      </w:r>
      <w:r>
        <w:t xml:space="preserve"> </w:t>
      </w:r>
      <w:r>
        <w:t xml:space="preserve">This subsection governs the comprehensive review process for material change transactions.</w:t>
      </w:r>
    </w:p>
    <w:p>
      <w:pPr>
        <w:jc w:val="both"/>
        <w:spacing w:before="100" w:after="0"/>
        <w:ind w:start="720"/>
      </w:pPr>
      <w:r>
        <w:rPr/>
        <w:t>A</w:t>
        <w:t xml:space="preserve">.  </w:t>
      </w:r>
      <w:r>
        <w:rPr/>
      </w:r>
      <w:r>
        <w:t xml:space="preserve">No later than 90 days after determining a material change transaction is subject to a comprehensive review pursuant to </w:t>
      </w:r>
      <w:r>
        <w:t>subsection 2, paragraph B</w:t>
      </w:r>
      <w:r>
        <w:t xml:space="preserve">, the department shall conduct one or more public hearings or public meetings, one of which must be in the county in which the health care entity is located, to hear comments from interested parties.</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B</w:t>
        <w:t xml:space="preserve">.  </w:t>
      </w:r>
      <w:r>
        <w:rPr/>
      </w:r>
      <w:r>
        <w:t xml:space="preserve">At the department's request, the Office of Affordable Health Care shall review the material change transaction's cost and market impact.  The review may examine factors relating to the proposed transaction and the transacting parties and their relative market positions, including, but not limited to:</w:t>
      </w:r>
    </w:p>
    <w:p>
      <w:pPr>
        <w:jc w:val="both"/>
        <w:spacing w:before="100" w:after="0"/>
        <w:ind w:start="1080"/>
      </w:pPr>
      <w:r>
        <w:rPr/>
        <w:t>(</w:t>
        <w:t>1</w:t>
        <w:t xml:space="preserve">)  </w:t>
      </w:r>
      <w:r>
        <w:rPr/>
      </w:r>
      <w:r>
        <w:t xml:space="preserve">The quality of the services provided by any health care provider party to the transaction, including patient experience;</w:t>
      </w:r>
    </w:p>
    <w:p>
      <w:pPr>
        <w:jc w:val="both"/>
        <w:spacing w:before="100" w:after="0"/>
        <w:ind w:start="1080"/>
      </w:pPr>
      <w:r>
        <w:rPr/>
        <w:t>(</w:t>
        <w:t>2</w:t>
        <w:t xml:space="preserve">)  </w:t>
      </w:r>
      <w:r>
        <w:rPr/>
      </w:r>
      <w:r>
        <w:t xml:space="preserve">Consumer concerns, including, but not limited to, complaints or other allegations that the health care provider or provider organization has engaged in any unfair method of competition or any unfair or deceptive act or practice;</w:t>
      </w:r>
    </w:p>
    <w:p>
      <w:pPr>
        <w:jc w:val="both"/>
        <w:spacing w:before="100" w:after="0"/>
        <w:ind w:start="1080"/>
      </w:pPr>
      <w:r>
        <w:rPr/>
        <w:t>(</w:t>
        <w:t>3</w:t>
        <w:t xml:space="preserve">)  </w:t>
      </w:r>
      <w:r>
        <w:rPr/>
      </w:r>
      <w:r>
        <w:t xml:space="preserve">The role of the transacting parties in serving at-risk, underserved and government payer patient populations;</w:t>
      </w:r>
    </w:p>
    <w:p>
      <w:pPr>
        <w:jc w:val="both"/>
        <w:spacing w:before="100" w:after="0"/>
        <w:ind w:start="1080"/>
      </w:pPr>
      <w:r>
        <w:rPr/>
        <w:t>(</w:t>
        <w:t>4</w:t>
        <w:t xml:space="preserve">)  </w:t>
      </w:r>
      <w:r>
        <w:rPr/>
      </w:r>
      <w:r>
        <w:t xml:space="preserve">The prices charged by either of the transacting parties for health care services, including their relative prices compared to others' prices for the same health care services in the same geographic area;</w:t>
      </w:r>
    </w:p>
    <w:p>
      <w:pPr>
        <w:jc w:val="both"/>
        <w:spacing w:before="100" w:after="0"/>
        <w:ind w:start="1080"/>
      </w:pPr>
      <w:r>
        <w:rPr/>
        <w:t>(</w:t>
        <w:t>5</w:t>
        <w:t xml:space="preserve">)  </w:t>
      </w:r>
      <w:r>
        <w:rPr/>
      </w:r>
      <w:r>
        <w:t xml:space="preserve">The cost and cost trends of the health care entity in comparison to total health care expenditures statewide;</w:t>
      </w:r>
    </w:p>
    <w:p>
      <w:pPr>
        <w:jc w:val="both"/>
        <w:spacing w:before="100" w:after="0"/>
        <w:ind w:start="1080"/>
      </w:pPr>
      <w:r>
        <w:rPr/>
        <w:t>(</w:t>
        <w:t>6</w:t>
        <w:t xml:space="preserve">)  </w:t>
      </w:r>
      <w:r>
        <w:rPr/>
      </w:r>
      <w:r>
        <w:t xml:space="preserve">The impact of the transaction on the clinical workforce, including wages, working conditions, staffing levels, supply, patient access and continuity of patient-care relationships;</w:t>
      </w:r>
    </w:p>
    <w:p>
      <w:pPr>
        <w:jc w:val="both"/>
        <w:spacing w:before="100" w:after="0"/>
        <w:ind w:start="1080"/>
      </w:pPr>
      <w:r>
        <w:rPr/>
        <w:t>(</w:t>
        <w:t>7</w:t>
        <w:t xml:space="preserve">)  </w:t>
      </w:r>
      <w:r>
        <w:rPr/>
      </w:r>
      <w:r>
        <w:t xml:space="preserve">The impact of a real estate sale or lease agreement on the financial condition of the health care entity and its ability to maintain patient care operations, including the impact of a sale and leaseback arrangement if the main campus of the health care entity is leased from a real estate investment trust;</w:t>
      </w:r>
    </w:p>
    <w:p>
      <w:pPr>
        <w:jc w:val="both"/>
        <w:spacing w:before="100" w:after="0"/>
        <w:ind w:start="1080"/>
      </w:pPr>
      <w:r>
        <w:rPr/>
        <w:t>(</w:t>
        <w:t>8</w:t>
        <w:t xml:space="preserve">)  </w:t>
      </w:r>
      <w:r>
        <w:rPr/>
      </w:r>
      <w:r>
        <w:t xml:space="preserve">The market share of any transacting party and the likely effects of the transaction on competition;</w:t>
      </w:r>
    </w:p>
    <w:p>
      <w:pPr>
        <w:jc w:val="both"/>
        <w:spacing w:before="100" w:after="0"/>
        <w:ind w:start="1080"/>
      </w:pPr>
      <w:r>
        <w:rPr/>
        <w:t>(</w:t>
        <w:t>9</w:t>
        <w:t xml:space="preserve">)  </w:t>
      </w:r>
      <w:r>
        <w:rPr/>
      </w:r>
      <w:r>
        <w:t xml:space="preserve">Any previous transaction involving either transacting party, including, but not limited to, acquisitions or mergers of similar health care providers, whether or not in the same state;</w:t>
      </w:r>
    </w:p>
    <w:p>
      <w:pPr>
        <w:jc w:val="both"/>
        <w:spacing w:before="100" w:after="0"/>
        <w:ind w:start="1080"/>
      </w:pPr>
      <w:r>
        <w:rPr/>
        <w:t>(</w:t>
        <w:t>10</w:t>
        <w:t xml:space="preserve">)  </w:t>
      </w:r>
      <w:r>
        <w:rPr/>
      </w:r>
      <w:r>
        <w:t xml:space="preserve">The debt-to-equity ratio of the health care entity following the transaction;</w:t>
      </w:r>
    </w:p>
    <w:p>
      <w:pPr>
        <w:jc w:val="both"/>
        <w:spacing w:before="100" w:after="0"/>
        <w:ind w:start="1080"/>
      </w:pPr>
      <w:r>
        <w:rPr/>
        <w:t>(</w:t>
        <w:t>11</w:t>
        <w:t xml:space="preserve">)  </w:t>
      </w:r>
      <w:r>
        <w:rPr/>
      </w:r>
      <w:r>
        <w:t xml:space="preserve">The availability and accessibility of health care services similar to those provided, or proposed to be provided, through the health care provider or provider organization within its primary service areas and dispersed service areas;</w:t>
      </w:r>
    </w:p>
    <w:p>
      <w:pPr>
        <w:jc w:val="both"/>
        <w:spacing w:before="100" w:after="0"/>
        <w:ind w:start="1080"/>
      </w:pPr>
      <w:r>
        <w:rPr/>
        <w:t>(</w:t>
        <w:t>12</w:t>
        <w:t xml:space="preserve">)  </w:t>
      </w:r>
      <w:r>
        <w:rPr/>
      </w:r>
      <w:r>
        <w:t xml:space="preserve">The impact of the material change transaction on competing options for the delivery of health care services within the health care provider's or provider organization's primary service areas and dispersed service areas;</w:t>
      </w:r>
    </w:p>
    <w:p>
      <w:pPr>
        <w:jc w:val="both"/>
        <w:spacing w:before="100" w:after="0"/>
        <w:ind w:start="1080"/>
      </w:pPr>
      <w:r>
        <w:rPr/>
        <w:t>(</w:t>
        <w:t>13</w:t>
        <w:t xml:space="preserve">)  </w:t>
      </w:r>
      <w:r>
        <w:rPr/>
      </w:r>
      <w:r>
        <w:t xml:space="preserve">The role of the transacting parties in providing low-margin or negative-margin services within their respective primary service areas and dispersed service areas;</w:t>
      </w:r>
    </w:p>
    <w:p>
      <w:pPr>
        <w:jc w:val="both"/>
        <w:spacing w:before="100" w:after="0"/>
        <w:ind w:start="1080"/>
      </w:pPr>
      <w:r>
        <w:rPr/>
        <w:t>(</w:t>
        <w:t>14</w:t>
        <w:t xml:space="preserve">)  </w:t>
      </w:r>
      <w:r>
        <w:rPr/>
      </w:r>
      <w:r>
        <w:t xml:space="preserve">The parties' compliance with prior conditions and legal requirements related to competitive conduct, including without limitation compliance with reporting requirements regarding health care entity ownership and control under </w:t>
      </w:r>
      <w:r>
        <w:t>section 8710‑A</w:t>
      </w:r>
      <w:r>
        <w:t xml:space="preserve"> and compliance with the laws and regulations of other states in which the parties operate; and</w:t>
      </w:r>
    </w:p>
    <w:p>
      <w:pPr>
        <w:jc w:val="both"/>
        <w:spacing w:before="100" w:after="0"/>
        <w:ind w:start="1080"/>
      </w:pPr>
      <w:r>
        <w:rPr/>
        <w:t>(</w:t>
        <w:t>15</w:t>
        <w:t xml:space="preserve">)  </w:t>
      </w:r>
      <w:r>
        <w:rPr/>
      </w:r>
      <w:r>
        <w:t xml:space="preserve">Any other factors that the Office of Affordable Health Care determines to be in the public interest.</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C</w:t>
        <w:t xml:space="preserve">.  </w:t>
      </w:r>
      <w:r>
        <w:rPr/>
      </w:r>
      <w:r>
        <w:t xml:space="preserve">The department and the Office of Affordable Health Care may request additional information or documents from the transacting parties necessary to conduct the review of the material change transaction's cost and market impact.  Failure to respond or insufficient responses to requests for information by transacting parties may result in the extension of the deadline for the office to complete the review or the imposition of conditions for approval or the disapproval of the material change transaction under </w:t>
      </w:r>
      <w:r>
        <w:t>subsection 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D</w:t>
        <w:t xml:space="preserve">.  </w:t>
      </w:r>
      <w:r>
        <w:rPr/>
      </w:r>
      <w:r>
        <w:t xml:space="preserve">Proprietary information and documents obtained by the department and the Office of Affordable Health Care under this chapter and the work product of the office is confidential, except that the department and the office may disclose confidential information or documents:</w:t>
      </w:r>
    </w:p>
    <w:p>
      <w:pPr>
        <w:jc w:val="both"/>
        <w:spacing w:before="100" w:after="0"/>
        <w:ind w:start="1080"/>
      </w:pPr>
      <w:r>
        <w:rPr/>
        <w:t>(</w:t>
        <w:t>1</w:t>
        <w:t xml:space="preserve">)  </w:t>
      </w:r>
      <w:r>
        <w:rPr/>
      </w:r>
      <w:r>
        <w:t xml:space="preserve">With the consent of the party that produced the information or documents; or</w:t>
      </w:r>
    </w:p>
    <w:p>
      <w:pPr>
        <w:jc w:val="both"/>
        <w:spacing w:before="100" w:after="0"/>
        <w:ind w:start="1080"/>
      </w:pPr>
      <w:r>
        <w:rPr/>
        <w:t>(</w:t>
        <w:t>2</w:t>
        <w:t xml:space="preserve">)  </w:t>
      </w:r>
      <w:r>
        <w:rPr/>
      </w:r>
      <w:r>
        <w:t xml:space="preserve">To an expert or consultant under contract with the State to review the proposed material change transaction, as long as the expert or consultant maintains the confidentiality of the information or documents in accordance with this paragraph.</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E</w:t>
        <w:t xml:space="preserve">.  </w:t>
      </w:r>
      <w:r>
        <w:rPr/>
      </w:r>
      <w:r>
        <w:t xml:space="preserve">The department or the Office of Affordable Health Care may, in its sole discretion:</w:t>
      </w:r>
    </w:p>
    <w:p>
      <w:pPr>
        <w:jc w:val="both"/>
        <w:spacing w:before="100" w:after="0"/>
        <w:ind w:start="1080"/>
      </w:pPr>
      <w:r>
        <w:rPr/>
        <w:t>(</w:t>
        <w:t>1</w:t>
        <w:t xml:space="preserve">)  </w:t>
      </w:r>
      <w:r>
        <w:rPr/>
      </w:r>
      <w:r>
        <w:t xml:space="preserve">Contract with, consult and receive advice from any state agency, including other offices of the department, the Department of Professional and Financial Regulation, the Maine Health Data Organization established in </w:t>
      </w:r>
      <w:r>
        <w:t>section 8703</w:t>
      </w:r>
      <w:r>
        <w:t xml:space="preserve">, the Maine Quality Forum established in </w:t>
      </w:r>
      <w:r>
        <w:t>Title 24‑A, section 6951</w:t>
      </w:r>
      <w:r>
        <w:t xml:space="preserve"> or any other state agency, on those terms and conditions that the department or the office considers appropriate; and</w:t>
      </w:r>
    </w:p>
    <w:p>
      <w:pPr>
        <w:jc w:val="both"/>
        <w:spacing w:before="100" w:after="0"/>
        <w:ind w:start="1080"/>
      </w:pPr>
      <w:r>
        <w:rPr/>
        <w:t>(</w:t>
        <w:t>2</w:t>
        <w:t xml:space="preserve">)  </w:t>
      </w:r>
      <w:r>
        <w:rPr/>
      </w:r>
      <w:r>
        <w:t xml:space="preserve">Contract with experts or consultants to assist in reviewing the proposed material change transaction.</w:t>
      </w:r>
    </w:p>
    <w:p>
      <w:pPr>
        <w:jc w:val="both"/>
        <w:spacing w:before="100" w:after="0"/>
        <w:ind w:start="720"/>
      </w:pPr>
      <w:r>
        <w:rPr/>
      </w:r>
      <w:r>
        <w:rPr/>
      </w:r>
      <w:r>
        <w:t xml:space="preserve">Notwithstanding </w:t>
      </w:r>
      <w:r>
        <w:t>Title 5, chapter 155</w:t>
      </w:r>
      <w:r>
        <w:t xml:space="preserve"> or any other provision of law to the contrary, agreements and contracts entered into pursuant to this chapter are not subject to the competitive bid requirements of the Chief Procurement Officer.</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F</w:t>
        <w:t xml:space="preserve">.  </w:t>
      </w:r>
      <w:r>
        <w:rPr/>
      </w:r>
      <w:r>
        <w:t xml:space="preserve">Not more than 150 days after receiving the request under </w:t>
      </w:r>
      <w:r>
        <w:t>paragraph B</w:t>
      </w:r>
      <w:r>
        <w:t xml:space="preserve">, the Office of Affordable Health Care shall produce a report on its review of the material change transaction's cost and market impact report containing the findings and conclusions of the review as long as the health care entity has complied with the requests for information or documents pursuant to this section within 21 days of the request or by a later date set by mutual agreement of the health care entity and the office.  The report must be posted publicly and may not disclose confidential information.</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G</w:t>
        <w:t xml:space="preserve">.  </w:t>
      </w:r>
      <w:r>
        <w:rPr/>
      </w:r>
      <w:r>
        <w:t xml:space="preserve">The department may charge costs to the transacting parties for all actual, reasonable and direct costs incurred in reviewing, evaluating and making the determination referred to in this section, including, without limitation, administrative costs, costs incurred by the Office of Affordable Health Care and costs of contracted experts or consultants.</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w:pPr>
        <w:jc w:val="both"/>
        <w:spacing w:before="100" w:after="100"/>
        <w:ind w:start="360"/>
        <w:ind w:firstLine="360"/>
      </w:pPr>
      <w:r>
        <w:rPr>
          <w:b/>
        </w:rPr>
        <w:t>4</w:t>
        <w:t xml:space="preserve">.  </w:t>
      </w:r>
      <w:r>
        <w:rPr>
          <w:b/>
        </w:rPr>
        <w:t xml:space="preserve">Approval authority.</w:t>
        <w:t xml:space="preserve"> </w:t>
      </w:r>
      <w:r>
        <w:t xml:space="preserve"> </w:t>
      </w:r>
      <w:r>
        <w:t xml:space="preserve">This subsection governs the department's approval authority.</w:t>
      </w:r>
    </w:p>
    <w:p>
      <w:pPr>
        <w:jc w:val="both"/>
        <w:spacing w:before="100" w:after="0"/>
        <w:ind w:start="720"/>
      </w:pPr>
      <w:r>
        <w:rPr/>
        <w:t>A</w:t>
        <w:t xml:space="preserve">.  </w:t>
      </w:r>
      <w:r>
        <w:rPr/>
      </w:r>
      <w:r>
        <w:t xml:space="preserve">The department may approve, conditionally approve or disapprove of any material change transaction for which the department receives notice under </w:t>
      </w:r>
      <w:r>
        <w:t>subsection 1</w:t>
      </w:r>
      <w:r>
        <w:t xml:space="preserve">.  Any conditions imposed pursuant to this section must specify a time period for compliance, an expiration date or that the condition applies indefinitely.</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B</w:t>
        <w:t xml:space="preserve">.  </w:t>
      </w:r>
      <w:r>
        <w:rPr/>
      </w:r>
      <w:r>
        <w:t xml:space="preserve">The department shall inform the health care entity of the determination under </w:t>
      </w:r>
      <w:r>
        <w:t>paragraph A</w:t>
      </w:r>
      <w:r>
        <w:t xml:space="preserve"> within 60 days of notice under </w:t>
      </w:r>
      <w:r>
        <w:t>subsection 1</w:t>
      </w:r>
      <w:r>
        <w:t xml:space="preserve"> or, in the case of comprehensive review, within 60 days of the department's receiving the report of the completed review of the material change transaction's cost and market impact from the Office of Affordable Health Care.  A proposed material change transaction may not be completed before the department has informed the health care entity of the determination.</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C</w:t>
        <w:t xml:space="preserve">.  </w:t>
      </w:r>
      <w:r>
        <w:rPr/>
      </w:r>
      <w:r>
        <w:t xml:space="preserve">In making the determination pursuant to </w:t>
      </w:r>
      <w:r>
        <w:t>paragraph A</w:t>
      </w:r>
      <w:r>
        <w:t xml:space="preserve">, the department may consider any factors that the department considers relevant, including, but not limited to, the likely impact, as described in the cost and market impact review report when applicable, of the material change transaction on:</w:t>
      </w:r>
    </w:p>
    <w:p>
      <w:pPr>
        <w:jc w:val="both"/>
        <w:spacing w:before="100" w:after="0"/>
        <w:ind w:start="1080"/>
      </w:pPr>
      <w:r>
        <w:rPr/>
        <w:t>(</w:t>
        <w:t>1</w:t>
        <w:t xml:space="preserve">)  </w:t>
      </w:r>
      <w:r>
        <w:rPr/>
      </w:r>
      <w:r>
        <w:t xml:space="preserve">Health care costs, prices and affordability;</w:t>
      </w:r>
    </w:p>
    <w:p>
      <w:pPr>
        <w:jc w:val="both"/>
        <w:spacing w:before="100" w:after="0"/>
        <w:ind w:start="1080"/>
      </w:pPr>
      <w:r>
        <w:rPr/>
        <w:t>(</w:t>
        <w:t>2</w:t>
        <w:t xml:space="preserve">)  </w:t>
      </w:r>
      <w:r>
        <w:rPr/>
      </w:r>
      <w:r>
        <w:t xml:space="preserve">The availability or accessibility of health care services to the affected individuals and groups;</w:t>
      </w:r>
    </w:p>
    <w:p>
      <w:pPr>
        <w:jc w:val="both"/>
        <w:spacing w:before="100" w:after="0"/>
        <w:ind w:start="1080"/>
      </w:pPr>
      <w:r>
        <w:rPr/>
        <w:t>(</w:t>
        <w:t>3</w:t>
        <w:t xml:space="preserve">)  </w:t>
      </w:r>
      <w:r>
        <w:rPr/>
      </w:r>
      <w:r>
        <w:t xml:space="preserve">The potential effects of the transaction on health outcomes, quality, access, equity or workforce for residents of this State or the potential loss or change in access to essential health care services;</w:t>
      </w:r>
    </w:p>
    <w:p>
      <w:pPr>
        <w:jc w:val="both"/>
        <w:spacing w:before="100" w:after="0"/>
        <w:ind w:start="1080"/>
      </w:pPr>
      <w:r>
        <w:rPr/>
        <w:t>(</w:t>
        <w:t>4</w:t>
        <w:t xml:space="preserve">)  </w:t>
      </w:r>
      <w:r>
        <w:rPr/>
      </w:r>
      <w:r>
        <w:t xml:space="preserve">Health care provider cost trends and containment of total state health care spending;</w:t>
      </w:r>
    </w:p>
    <w:p>
      <w:pPr>
        <w:jc w:val="both"/>
        <w:spacing w:before="100" w:after="0"/>
        <w:ind w:start="1080"/>
      </w:pPr>
      <w:r>
        <w:rPr/>
        <w:t>(</w:t>
        <w:t>5</w:t>
        <w:t xml:space="preserve">)  </w:t>
      </w:r>
      <w:r>
        <w:rPr/>
      </w:r>
      <w:r>
        <w:t xml:space="preserve">Access to health care services in medically underserved areas;</w:t>
      </w:r>
    </w:p>
    <w:p>
      <w:pPr>
        <w:jc w:val="both"/>
        <w:spacing w:before="100" w:after="0"/>
        <w:ind w:start="1080"/>
      </w:pPr>
      <w:r>
        <w:rPr/>
        <w:t>(</w:t>
        <w:t>6</w:t>
        <w:t xml:space="preserve">)  </w:t>
      </w:r>
      <w:r>
        <w:rPr/>
      </w:r>
      <w:r>
        <w:t xml:space="preserve">Rectifying historical problems and contemporary factors contributing to a lack of health equity or access to health care services;</w:t>
      </w:r>
    </w:p>
    <w:p>
      <w:pPr>
        <w:jc w:val="both"/>
        <w:spacing w:before="100" w:after="0"/>
        <w:ind w:start="1080"/>
      </w:pPr>
      <w:r>
        <w:rPr/>
        <w:t>(</w:t>
        <w:t>7</w:t>
        <w:t xml:space="preserve">)  </w:t>
      </w:r>
      <w:r>
        <w:rPr/>
      </w:r>
      <w:r>
        <w:t xml:space="preserve">The functioning and competitiveness of the markets for health care and health insurance;</w:t>
      </w:r>
    </w:p>
    <w:p>
      <w:pPr>
        <w:jc w:val="both"/>
        <w:spacing w:before="100" w:after="0"/>
        <w:ind w:start="1080"/>
      </w:pPr>
      <w:r>
        <w:rPr/>
        <w:t>(</w:t>
        <w:t>8</w:t>
        <w:t xml:space="preserve">)  </w:t>
      </w:r>
      <w:r>
        <w:rPr/>
      </w:r>
      <w:r>
        <w:t xml:space="preserve">Whether the transaction is contrary to or violates any applicable law, including, without limitation, state antitrust laws, laws restricting the corporate practice of medicine and consumer protection laws;</w:t>
      </w:r>
    </w:p>
    <w:p>
      <w:pPr>
        <w:jc w:val="both"/>
        <w:spacing w:before="100" w:after="0"/>
        <w:ind w:start="1080"/>
      </w:pPr>
      <w:r>
        <w:rPr/>
        <w:t>(</w:t>
        <w:t>9</w:t>
        <w:t xml:space="preserve">)  </w:t>
      </w:r>
      <w:r>
        <w:rPr/>
      </w:r>
      <w:r>
        <w:t xml:space="preserve">Whether the benefits of the transaction are likely to outweigh the anticompetitive effects from the transaction; and</w:t>
      </w:r>
    </w:p>
    <w:p>
      <w:pPr>
        <w:jc w:val="both"/>
        <w:spacing w:before="100" w:after="0"/>
        <w:ind w:start="1080"/>
      </w:pPr>
      <w:r>
        <w:rPr/>
        <w:t>(</w:t>
        <w:t>10</w:t>
        <w:t xml:space="preserve">)  </w:t>
      </w:r>
      <w:r>
        <w:rPr/>
      </w:r>
      <w:r>
        <w:t xml:space="preserve">Whether the transaction is in the public interest.</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D</w:t>
        <w:t xml:space="preserve">.  </w:t>
      </w:r>
      <w:r>
        <w:rPr/>
      </w:r>
      <w:r>
        <w:t xml:space="preserve">This subsection does not limit or alter any authority of the Attorney General or any state agency to enforce any other law, including state or federal antitrust law, or to review nonprofit transactions.</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w:pPr>
        <w:jc w:val="both"/>
        <w:spacing w:before="100" w:after="100"/>
        <w:ind w:start="360"/>
        <w:ind w:firstLine="360"/>
      </w:pPr>
      <w:r>
        <w:rPr>
          <w:b/>
        </w:rPr>
        <w:t>5</w:t>
        <w:t xml:space="preserve">.  </w:t>
      </w:r>
      <w:r>
        <w:rPr>
          <w:b/>
        </w:rPr>
        <w:t xml:space="preserve">Post-transaction oversight.</w:t>
        <w:t xml:space="preserve"> </w:t>
      </w:r>
      <w:r>
        <w:t xml:space="preserve"> </w:t>
      </w:r>
      <w:r>
        <w:t xml:space="preserve">This subsection governs post-transaction oversight.</w:t>
      </w:r>
    </w:p>
    <w:p>
      <w:pPr>
        <w:jc w:val="both"/>
        <w:spacing w:before="100" w:after="0"/>
        <w:ind w:start="720"/>
      </w:pPr>
      <w:r>
        <w:rPr/>
        <w:t>A</w:t>
        <w:t xml:space="preserve">.  </w:t>
      </w:r>
      <w:r>
        <w:rPr/>
      </w:r>
      <w:r>
        <w:t xml:space="preserve">This paragraph governs enforcement by the Attorney General.</w:t>
      </w:r>
    </w:p>
    <w:p>
      <w:pPr>
        <w:jc w:val="both"/>
        <w:spacing w:before="100" w:after="0"/>
        <w:ind w:start="1080"/>
      </w:pPr>
      <w:r>
        <w:rPr/>
        <w:t>(</w:t>
        <w:t>1</w:t>
        <w:t xml:space="preserve">)  </w:t>
      </w:r>
      <w:r>
        <w:rPr/>
      </w:r>
      <w:r>
        <w:t xml:space="preserve">The Attorney General may subpoena any records necessary to enforce any provision of this chapter or to investigate suspected violations of any provision of this chapter or any condition imposed by conditional approval pursuant to </w:t>
      </w:r>
      <w:r>
        <w:t>subsection 4</w:t>
      </w:r>
      <w:r>
        <w:t xml:space="preserve">.</w:t>
      </w:r>
    </w:p>
    <w:p>
      <w:pPr>
        <w:jc w:val="both"/>
        <w:spacing w:before="100" w:after="0"/>
        <w:ind w:start="1080"/>
      </w:pPr>
      <w:r>
        <w:rPr/>
        <w:t>(</w:t>
        <w:t>2</w:t>
        <w:t xml:space="preserve">)  </w:t>
      </w:r>
      <w:r>
        <w:rPr/>
      </w:r>
      <w:r>
        <w:t xml:space="preserve">The Attorney General may enforce any requirement of this chapter and any conditions imposed by a conditional approval pursuant to </w:t>
      </w:r>
      <w:r>
        <w:t>subsection 4</w:t>
      </w:r>
      <w:r>
        <w:t xml:space="preserve"> to the fullest extent provided by law, including damages.  In addition to any legal remedies the Attorney General may have, the Attorney General is entitled to specific performance, injunctive relief and other equitable remedies a court considers appropriate for any violation or imminent violation of any requirement of this chapter or breach of any of the conditions and is entitled to recover attorney's fees and costs incurred in remedying each violation.</w:t>
      </w:r>
    </w:p>
    <w:p>
      <w:pPr>
        <w:jc w:val="both"/>
        <w:spacing w:before="100" w:after="0"/>
        <w:ind w:start="1080"/>
      </w:pPr>
      <w:r>
        <w:rPr/>
        <w:t>(</w:t>
        <w:t>3</w:t>
        <w:t xml:space="preserve">)  </w:t>
      </w:r>
      <w:r>
        <w:rPr/>
      </w:r>
      <w:r>
        <w:t xml:space="preserve">This subsection does not narrow, abrogate or otherwise alter the authority of the Attorney General to prosecute violations of antitrust or consumer protection requirements.</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B</w:t>
        <w:t xml:space="preserve">.  </w:t>
      </w:r>
      <w:r>
        <w:rPr/>
      </w:r>
      <w:r>
        <w:t xml:space="preserve">This paragraph governs enforcement by the department.</w:t>
      </w:r>
    </w:p>
    <w:p>
      <w:pPr>
        <w:jc w:val="both"/>
        <w:spacing w:before="100" w:after="0"/>
        <w:ind w:start="1080"/>
      </w:pPr>
      <w:r>
        <w:rPr/>
        <w:t>(</w:t>
        <w:t>1</w:t>
        <w:t xml:space="preserve">)  </w:t>
      </w:r>
      <w:r>
        <w:rPr/>
      </w:r>
      <w:r>
        <w:t xml:space="preserve">The department may audit the books, documents, records and data of any entity that is subject to a conditional approval under </w:t>
      </w:r>
      <w:r>
        <w:t>subsection 4</w:t>
      </w:r>
      <w:r>
        <w:t xml:space="preserve"> to monitor compliance with the conditions.</w:t>
      </w:r>
    </w:p>
    <w:p>
      <w:pPr>
        <w:jc w:val="both"/>
        <w:spacing w:before="100" w:after="0"/>
        <w:ind w:start="1080"/>
      </w:pPr>
      <w:r>
        <w:rPr/>
        <w:t>(</w:t>
        <w:t>2</w:t>
        <w:t xml:space="preserve">)  </w:t>
      </w:r>
      <w:r>
        <w:rPr/>
      </w:r>
      <w:r>
        <w:t xml:space="preserve">Any entity that violates any provision of this chapter, any rules adopted pursuant to this chapter or any condition imposed pursuant to a conditional approval under </w:t>
      </w:r>
      <w:r>
        <w:t>subsection 4</w:t>
      </w:r>
      <w:r>
        <w:t xml:space="preserve"> is subject to an administrative penalty of $10,000 per day in violation of this chapter.  The department may hold these funds in a special revenue account that may be used only to support material change transaction reviews, such as for hiring expert analysts on a short-term consulting basis.</w:t>
      </w:r>
    </w:p>
    <w:p>
      <w:pPr>
        <w:jc w:val="both"/>
        <w:spacing w:before="100" w:after="0"/>
        <w:ind w:start="1080"/>
      </w:pPr>
      <w:r>
        <w:rPr/>
        <w:t>(</w:t>
        <w:t>3</w:t>
        <w:t xml:space="preserve">)  </w:t>
      </w:r>
      <w:r>
        <w:rPr/>
      </w:r>
      <w:r>
        <w:t xml:space="preserve">The department may refer any entity to the Attorney General to review for enforcement of any noncompliance with this chapter and any conditions imposed by conditional approval pursuant to </w:t>
      </w:r>
      <w:r>
        <w:t>subsection 4</w:t>
      </w:r>
      <w:r>
        <w:t xml:space="preserve">.</w:t>
      </w:r>
    </w:p>
    <w:p>
      <w:pPr>
        <w:jc w:val="both"/>
        <w:spacing w:before="100" w:after="0"/>
        <w:ind w:start="1080"/>
      </w:pPr>
      <w:r>
        <w:rPr/>
        <w:t>(</w:t>
        <w:t>4</w:t>
        <w:t xml:space="preserve">)  </w:t>
      </w:r>
      <w:r>
        <w:rPr/>
      </w:r>
      <w:r>
        <w:t xml:space="preserve">In order to effectively monitor ongoing compliance with the terms and conditions of any material change transaction subject to prior notice, approval or conditional approval under this chapter, the department may, in its sole discretion, conduct a review or audit and may contract with experts and consultants to assist in this regard.</w:t>
      </w:r>
    </w:p>
    <w:p>
      <w:pPr>
        <w:jc w:val="both"/>
        <w:spacing w:before="100" w:after="0"/>
        <w:ind w:start="1080"/>
      </w:pPr>
      <w:r>
        <w:rPr/>
        <w:t>(</w:t>
        <w:t>5</w:t>
        <w:t xml:space="preserve">)  </w:t>
      </w:r>
      <w:r>
        <w:rPr/>
      </w:r>
      <w:r>
        <w:t xml:space="preserve">One year, 2 years and 5 years following the completion of the material change transaction approved or conditionally approved by the department after a comprehensive review under </w:t>
      </w:r>
      <w:r>
        <w:t>subsection 3</w:t>
      </w:r>
      <w:r>
        <w:t xml:space="preserve">, and at future intervals determined at the discretion of the department, the health care entity or the person, corporation or partnership or any other entity that acquired direct or indirect control over the health care entity shall submit reports to the department that:</w:t>
      </w:r>
    </w:p>
    <w:p>
      <w:pPr>
        <w:jc w:val="both"/>
        <w:spacing w:before="100" w:after="0"/>
        <w:ind w:start="1440"/>
      </w:pPr>
      <w:r>
        <w:rPr/>
        <w:t>(</w:t>
        <w:t>a</w:t>
        <w:t xml:space="preserve">)  </w:t>
      </w:r>
      <w:r>
        <w:rPr/>
      </w:r>
      <w:r>
        <w:t xml:space="preserve">Demonstrate compliance with conditions placed on the transaction, if any;</w:t>
      </w:r>
    </w:p>
    <w:p>
      <w:pPr>
        <w:jc w:val="both"/>
        <w:spacing w:before="100" w:after="0"/>
        <w:ind w:start="1440"/>
      </w:pPr>
      <w:r>
        <w:rPr/>
        <w:t>(</w:t>
        <w:t>b</w:t>
        <w:t xml:space="preserve">)  </w:t>
      </w:r>
      <w:r>
        <w:rPr/>
      </w:r>
      <w:r>
        <w:t xml:space="preserve">Analyze cost trends and cost growth trends of the parties to the transactions; and</w:t>
      </w:r>
    </w:p>
    <w:p>
      <w:pPr>
        <w:jc w:val="both"/>
        <w:spacing w:before="100" w:after="0"/>
        <w:ind w:start="1440"/>
      </w:pPr>
      <w:r>
        <w:rPr/>
        <w:t>(</w:t>
        <w:t>c</w:t>
        <w:t xml:space="preserve">)  </w:t>
      </w:r>
      <w:r>
        <w:rPr/>
      </w:r>
      <w:r>
        <w:t xml:space="preserve">Analyze any changes or effects of the transaction on patient access, availability of services, workforce, quality or equity.</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C</w:t>
        <w:t xml:space="preserve">.  </w:t>
      </w:r>
      <w:r>
        <w:rPr/>
      </w:r>
      <w:r>
        <w:t xml:space="preserve">The department may charge costs to the transacting parties for all actual, reasonable and direct costs incurred in monitoring ongoing compliance with the terms and conditions of the material change transaction, including contractor and administrative costs.</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w:pPr>
        <w:jc w:val="both"/>
        <w:spacing w:before="100" w:after="0"/>
        <w:ind w:start="360"/>
        <w:ind w:firstLine="360"/>
      </w:pPr>
      <w:r>
        <w:rPr>
          <w:b/>
        </w:rPr>
        <w:t>6</w:t>
        <w:t xml:space="preserve">.  </w:t>
      </w:r>
      <w:r>
        <w:rPr>
          <w:b/>
        </w:rPr>
        <w:t xml:space="preserve">Assessment.</w:t>
        <w:t xml:space="preserve"> </w:t>
      </w:r>
      <w:r>
        <w:t xml:space="preserve"> </w:t>
      </w:r>
      <w:r>
        <w:t xml:space="preserve">The department shall adopt rules setting minimum and maximum filing fees under this chapter.  Initial fees may not be less than $2,000 nor more than $10,000.  In addition to rules regarding filing fees, the department shall adopt rules to establish reasonable and necessary fees to carry out the provisions of this chapter.  When filing written notice pursuant to </w:t>
      </w:r>
      <w:r>
        <w:t>subsection 1, paragraph A</w:t>
      </w:r>
      <w:r>
        <w:t xml:space="preserve">, the health care entity shall pay a nonrefundable filing fee pursuant to this subsection.  All fees received by the department under this subsection must be placed in a separate, nonlapsing account to be used in accordance with this chapter.  The department shall hold these funds in a special revenue account that may be used only to support staff positions and other expenses necessary to administer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w:pPr>
        <w:jc w:val="both"/>
        <w:spacing w:before="100" w:after="0"/>
        <w:ind w:start="360"/>
        <w:ind w:firstLine="360"/>
      </w:pPr>
      <w:r>
        <w:rPr>
          <w:b/>
        </w:rPr>
        <w:t>7</w:t>
        <w:t xml:space="preserve">.  </w:t>
      </w:r>
      <w:r>
        <w:rPr>
          <w:b/>
        </w:rPr>
        <w:t xml:space="preserve">Exemption.</w:t>
        <w:t xml:space="preserve"> </w:t>
      </w:r>
      <w:r>
        <w:t xml:space="preserve"> </w:t>
      </w:r>
      <w:r>
        <w:t xml:space="preserve">Notwithstanding any other provision of this chapter to the contrary, this section does not apply to an independent provider organization, without any ownership or control entities, consisting of 6 or fewer individual providers that experience a material change transaction.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§372. Review of proposed material change transactions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§372. Review of proposed material change transactions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§372. REVIEW OF PROPOSED MATERIAL CHANGE TRANSACTIONS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