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From April 1, 2011 to December 31, 2024,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PL 2023, c. 643, Pt. 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§1714-C. CRITICAL ACCESS HOSPITAL STAFF ENHANCEMENT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