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1471-O</w:t>
        <w:t xml:space="preserve">.  </w:t>
      </w:r>
      <w:r>
        <w:rPr>
          <w:b/>
        </w:rPr>
        <w:t xml:space="preserve">Exercise of powers by Board of Pesticides Control</w:t>
      </w:r>
    </w:p>
    <w:p>
      <w:pPr>
        <w:jc w:val="both"/>
        <w:spacing w:before="100" w:after="100"/>
        <w:ind w:start="360"/>
        <w:ind w:firstLine="360"/>
      </w:pPr>
      <w:r>
        <w:rPr/>
      </w:r>
      <w:r>
        <w:rPr/>
      </w:r>
      <w:r>
        <w:t xml:space="preserve">The powers established under the Maine Pesticide Control Act of 1975, </w:t>
      </w:r>
      <w:r>
        <w:t>Title 7, chapter 103, subchapter II‑A</w:t>
      </w:r>
      <w:r>
        <w:t xml:space="preserve">, shall be exercised by the Board of Pesticides Control established by </w:t>
      </w:r>
      <w:r>
        <w:t>section 1471‑B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§1471-O. Exercise of powers by Board of Pesticides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§1471-O. Exercise of powers by Board of Pesticides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§1471-O. EXERCISE OF POWERS BY BOARD OF PESTICIDES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