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w:t>
        <w:t xml:space="preserve">.  </w:t>
      </w:r>
      <w:r>
        <w:rPr>
          <w:b/>
        </w:rPr>
        <w:t xml:space="preserve">Membership - Article 1</w:t>
      </w:r>
    </w:p>
    <w:p>
      <w:pPr>
        <w:jc w:val="both"/>
        <w:spacing w:before="100" w:after="100"/>
        <w:ind w:start="360"/>
        <w:ind w:firstLine="360"/>
      </w:pPr>
      <w:r>
        <w:rPr/>
      </w:r>
      <w:r>
        <w:rPr/>
      </w:r>
      <w:r>
        <w:t xml:space="preserve">Any state of the United States and the District of Columbia may become a member of this agreement by enacting this agreement.</w:t>
      </w:r>
      <w:r>
        <w:t xml:space="preserve">  </w:t>
      </w:r>
      <w:r xmlns:wp="http://schemas.openxmlformats.org/drawingml/2010/wordprocessingDrawing" xmlns:w15="http://schemas.microsoft.com/office/word/2012/wordml">
        <w:rPr>
          <w:rFonts w:ascii="Arial" w:hAnsi="Arial" w:cs="Arial"/>
          <w:sz w:val="22"/>
          <w:szCs w:val="22"/>
        </w:rPr>
        <w:t xml:space="preserve">[PL 2023, c. 628,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628, §9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§1302. Membership - Article 1</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 Membership - Article 1</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§1302. MEMBERSHIP - ARTICLE 1</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