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§852. Procedure at the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Procedure at the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§852. PROCEDURE AT THE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