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§780-A. Use of blank write-in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Use of blank write-in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§780-A. USE OF BLANK WRITE-IN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