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Student census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§3303. STUDENT CENSUS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