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1905</w:t>
        <w:t xml:space="preserve">.  </w:t>
      </w:r>
      <w:r>
        <w:rPr>
          <w:b/>
        </w:rPr>
        <w:t xml:space="preserve">Withdrawal</w:t>
      </w:r>
    </w:p>
    <w:p>
      <w:pPr>
        <w:jc w:val="both"/>
        <w:spacing w:before="100" w:after="100"/>
        <w:ind w:start="360"/>
        <w:ind w:firstLine="360"/>
      </w:pPr>
      <w:r>
        <w:rPr/>
      </w:r>
      <w:r>
        <w:rPr/>
      </w:r>
      <w:r>
        <w:t xml:space="preserve">The residents of a participating municipality of a municipal school unit within a school union may petition and vote to withdraw from the school union in the same manner as a single municipality within a school administrative unit may petition to withdraw from a regional school unit in accordance with </w:t>
      </w:r>
      <w:r>
        <w:t>section 1466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548,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548,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§1905. Withdrawal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§1905. Withdrawal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§1905. WITHDRAWAL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