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Referendum procedures</w:t>
      </w:r>
    </w:p>
    <w:p>
      <w:pPr>
        <w:jc w:val="both"/>
        <w:spacing w:before="100" w:after="0"/>
        <w:ind w:start="360"/>
        <w:ind w:firstLine="360"/>
      </w:pPr>
      <w:r>
        <w:rPr>
          <w:b/>
        </w:rPr>
        <w:t>1</w:t>
        <w:t xml:space="preserve">.  </w:t>
      </w:r>
      <w:r>
        <w:rPr>
          <w:b/>
        </w:rPr>
        <w:t xml:space="preserve">Ballots.</w:t>
        <w:t xml:space="preserve"> </w:t>
      </w:r>
      <w:r>
        <w:t xml:space="preserve"> </w:t>
      </w:r>
      <w:r>
        <w:t xml:space="preserve">The regional school unit board shall prepare and furnish the required number of ballots for carrying out the referendum as posted, including absentee ballots. The regional school unit board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in accordance with this subsection.</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regional school unit board. If a regional school unit referendum is called to be held simultaneously with any statewide election, the voting in towns must be held and conducted in accordance with </w:t>
      </w:r>
      <w:r>
        <w:t>Title 21‑A</w:t>
      </w:r>
      <w:r>
        <w:t xml:space="preserve">, except that the duties of the Secretary of State must be performed by the regional school unit board and, if the statewide election is a primary election, any registered voter may vote in the referendum. The absentee voting procedure of </w:t>
      </w:r>
      <w:r>
        <w:t>Title 21‑A</w:t>
      </w:r>
      <w:r>
        <w:t xml:space="preserve"> must be used, except that the duties of the Secretary of State must be performed by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regional school unit board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must be in accordance with this subsection.</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regional school unit board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 soon as all of the results from all of the municipalities have been returned to the regional school unit board, the regional school unit board shall meet and compute the total number of votes cast in all of the municipalities within the regional school unit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regional school unit board determines that there were more votes cast in the affirmative than in the negative on a given article, it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regional school unit board determines that the total number of votes cast on an article in the affirmative is equal to or less than those cast in the negative, it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The regional school unit board shall enter its declaration and computations in its records and send certified copies to the clerk of each municipality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Referendum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Referendum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§1503. REFERENDUM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