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12535</w:t>
        <w:t xml:space="preserve">.  </w:t>
      </w:r>
      <w:r>
        <w:rPr>
          <w:b/>
        </w:rPr>
        <w:t xml:space="preserve">Report</w:t>
      </w:r>
    </w:p>
    <w:p>
      <w:pPr>
        <w:jc w:val="both"/>
        <w:spacing w:before="100" w:after="100"/>
        <w:ind w:start="360"/>
        <w:ind w:firstLine="360"/>
      </w:pPr>
      <w:r>
        <w:rPr/>
      </w:r>
      <w:r>
        <w:rPr/>
      </w:r>
      <w:r>
        <w:t xml:space="preserve">The authority shall report on the program to the Department of Economic and Community Development, to the joint standing committee of the Legislature having jurisdiction over education matters and to the joint standing committee of the Legislature having jurisdiction over business matters no later than January 15, 2007 and annually thereafter.</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§12535.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§12535.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§12535.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