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11420</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at any time and from time to time, issue bonds for the purpose of making authority loans to institutions participating in the program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 if so specified.</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Be negotiable and be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must be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Be deemed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pPr>
      <w:r>
        <w:rPr/>
      </w:r>
      <w:r>
        <w:rPr/>
      </w:r>
      <w:r>
        <w:t xml:space="preserve">Pending preparation of the definitive bonds, the authority may issue interim receipts or certificates, which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such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must not directly or indirectly or contingently obligate the State or any political subdivision of the State to levy or to pledge any form of taxation whatever or to make any appropriation for their payment.  Nothing in this section contained may prevent nor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must be a part of the contract with the holders of the bonds to be authorized under this chapter,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to be issued;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The fees and other charges to be collected and the sums to be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Limitations on the purpose to which or the investments in which the proceeds of sale of any issue of bonds then or thereafter to be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Limitations on the issuance of additional bonds, the terms upon which additional bonds may be issued and secured,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must be given;</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issued under this chapter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issued under this chapter out of any available funds and may hold, pledge, cancel or resell the bonds subject to and in accordance with agreements with bondholders.</w:t>
      </w:r>
    </w:p>
    <w:p>
      <w:pPr>
        <w:jc w:val="both"/>
        <w:spacing w:before="100" w:after="0"/>
        <w:ind w:start="360"/>
      </w:pPr>
      <w:r>
        <w:rPr/>
      </w:r>
      <w:r>
        <w:rPr/>
      </w:r>
      <w:r>
        <w:t xml:space="preserve">The authority may refund or refinance any of its bonds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issued under this chapter.  Notwithstanding any other provision contained in this chapter, the authority may commingle and pledge as security for a series or issue of such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such bonds are held for the sole benefit of the series or issue separate and apart from education loan series portfolios and other security and money pledged for any other series or issue of such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r>
      <w:r>
        <w:rPr/>
      </w:r>
      <w:r>
        <w:t xml:space="preserve">The authority may provide for transfer of registration of its registered bonds issued under this chapter by book entry on the records of the entity designated for that purpose and may enter into any agreement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§19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§11420.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§11420.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§11420.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