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11418</w:t>
        <w:t xml:space="preserve">.  </w:t>
      </w:r>
      <w:r>
        <w:rPr>
          <w:b/>
        </w:rPr>
        <w:t xml:space="preserve">Records confidential</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Records containing any information acquired by the authority or a member, officer, employee or agent of the authority from applicants for or recipients of financial assistance provided pursuant to the program are confidential for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§17 (AMD); PL 2015, c. 170, §30 (AFF).]</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No member, officer, employee, agent, other representative of the authority or other person may knowingly divulge or disclose records declared confidential by this section, except that the authority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To a financial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Information to the extent the authority deems the disclosure necessary to the sale or transfer of its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If necessary to assure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In any litigation or proceeding in which the authority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Pursuant to a subpoena, request for production of documents, warrant or other order by competent authority, provided that any such order appears to have first been served on the person to whom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§17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§11418.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§11418.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§11418.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