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3006</w:t>
        <w:t xml:space="preserve">.  </w:t>
      </w:r>
      <w:r>
        <w:rPr>
          <w:b/>
        </w:rPr>
        <w:t xml:space="preserve">Inappropriate tribunal</w:t>
      </w:r>
    </w:p>
    <w:p>
      <w:pPr>
        <w:jc w:val="both"/>
        <w:spacing w:before="100" w:after="100"/>
        <w:ind w:start="360"/>
        <w:ind w:firstLine="360"/>
      </w:pPr>
      <w:r>
        <w:rPr/>
      </w:r>
      <w:r>
        <w:rPr/>
      </w:r>
      <w:r>
        <w:t xml:space="preserve">If a petition or comparable pleading is received by an inappropriate tribunal of this State, the inappropriate tribunal shall forward the petition or pleading and accompanying documents to an appropriate tribunal or to the state information agency in this State or another state and notify the petitioner where and when the pleading was sent.</w:t>
      </w:r>
      <w:r>
        <w:t xml:space="preserve">  </w:t>
      </w:r>
      <w:r xmlns:wp="http://schemas.openxmlformats.org/drawingml/2010/wordprocessingDrawing" xmlns:w15="http://schemas.microsoft.com/office/word/2012/wordml">
        <w:rPr>
          <w:rFonts w:ascii="Arial" w:hAnsi="Arial" w:cs="Arial"/>
          <w:sz w:val="22"/>
          <w:szCs w:val="22"/>
        </w:rPr>
        <w:t xml:space="preserve">[PL 1997, c. 669,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§3006. Inappropriate tribunal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§3006. Inappropriate tribunal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§3006. INAPPROPRIATE TRIBUNAL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