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Release of information</w:t>
      </w:r>
    </w:p>
    <w:p>
      <w:pPr>
        <w:jc w:val="both"/>
        <w:spacing w:before="100" w:after="100"/>
        <w:ind w:start="360"/>
        <w:ind w:firstLine="360"/>
      </w:pPr>
      <w:r>
        <w:rPr/>
      </w:r>
      <w:r>
        <w:rPr/>
      </w:r>
      <w:r>
        <w:t xml:space="preserve">The State Registrar of Vital Statistics may release information relating to an acknowledgment of parentage under </w:t>
      </w:r>
      <w:r>
        <w:t>section 1861</w:t>
      </w:r>
      <w:r>
        <w:t xml:space="preserve"> as provided in </w:t>
      </w:r>
      <w:r>
        <w:t>Title 22, section 2706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§1872. Release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Release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§1872. RELEASE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