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Residency</w:t>
      </w:r>
    </w:p>
    <w:p>
      <w:pPr>
        <w:jc w:val="both"/>
        <w:spacing w:before="100" w:after="100"/>
        <w:ind w:start="360"/>
        <w:ind w:firstLine="360"/>
      </w:pPr>
      <w:r>
        <w:rPr/>
      </w:r>
      <w:r>
        <w:rPr/>
      </w:r>
      <w:r>
        <w:t xml:space="preserve">The right to file a complaint or bring a petition under this Title may not be denied a person for failure to meet a residency requirement if the person is a member of the Armed Forces of the United States on active duty stationed in this State or the spouse of that member or a parent of a child of that member.  The member is deemed to be a resident either of the county in which the military installation, or other place at which the member has been stationed, is located or of the county in which the member has sojourned.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 Residency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Residency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§102. RESIDENCY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