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672, §16 (AMD). PL 2005, c. 265, §19 (AMD). PL 2007, c. 340, §§2, 3 (AMD). PL 2007, c. 518, §8 (AMD). PL 2011, c. 640, Pt. C, §1 (AMD). PL 2013, c. 478, §7 (AMD). PL 2015, c. 296, Pt. C, §24 (AMD). PL 2015, c. 296, Pt. D, §1 (AFF). PL 2015, c. 410, Pt. B, §§1, 2 (AMD). PL 2015, c. 443, §§9, 10 (AMD). PL 2017, c. 288, Pt. A, §§17-19 (AMD). PL 2019, c. 113, Pt. C, §66 (AMD). PL 2019, c. 176, §1 (AMD). PL 2019, c. 407, §3 (AMD). PL 2019, c. 412, §7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