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§3006. Inappropriate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Inappropriate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§3006. INAPPROPRIATE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