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360"/>
        <w:ind w:firstLine="360"/>
      </w:pPr>
      <w:r>
        <w:rPr>
          <w:b/>
        </w:rPr>
        <w:t>1</w:t>
        <w:t xml:space="preserve">.  </w:t>
      </w:r>
      <w:r>
        <w:rPr>
          <w:b/>
        </w:rPr>
        <w:t xml:space="preserve">Petitioner.</w:t>
        <w:t xml:space="preserve"> </w:t>
      </w:r>
      <w:r>
        <w:t xml:space="preserve"> </w:t>
      </w:r>
      <w:r>
        <w:t xml:space="preserve">"Petitioner" means a person who seeks enforcement of an order for return of a child under the Hague Convention on the Civil Aspects of International Child Abduction or enforcement of a child custody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Respondent.</w:t>
        <w:t xml:space="preserve"> </w:t>
      </w:r>
      <w:r>
        <w:t xml:space="preserve"> </w:t>
      </w:r>
      <w:r>
        <w:t xml:space="preserve">"Respondent" means a person against whom a proceeding has been commenced for enforcement of an order for return of a child under the Hague Convention on the Civil Aspects of International Child Abduction or enforcement of a child custody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§1761.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§1761.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