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5-815</w:t>
        <w:t xml:space="preserve">.  </w:t>
      </w:r>
      <w:r>
        <w:rPr>
          <w:b/>
        </w:rPr>
        <w:t xml:space="preserve">Judicial relief</w:t>
      </w:r>
    </w:p>
    <w:p>
      <w:pPr>
        <w:jc w:val="both"/>
        <w:spacing w:before="100" w:after="100"/>
        <w:ind w:start="360"/>
        <w:ind w:firstLine="360"/>
      </w:pPr>
      <w:r>
        <w:rPr/>
      </w:r>
      <w:r>
        <w:rPr/>
      </w:r>
      <w:r>
        <w:t xml:space="preserve">On petition of a patient, the patient's agent, guardian or surrogate, a health care or social services provider or health care institution involved with the patient's care, a state agency mandated to provide adult protective services pursuant to </w:t>
      </w:r>
      <w:r>
        <w:t>Title 22, chapter 958‑A</w:t>
      </w:r>
      <w:r>
        <w:t xml:space="preserve">, or an adult relative or adult friend of the patient, the court may enjoin or direct a health care decision or other equitable relief.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§5-815. Judicial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§5-815. Judicial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§5-815. JUDICIAL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