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5-811</w:t>
        <w:t xml:space="preserve">.  </w:t>
      </w:r>
      <w:r>
        <w:rPr>
          <w:b/>
        </w:rPr>
        <w:t xml:space="preserve">Statutory damages</w:t>
      </w:r>
    </w:p>
    <w:p>
      <w:pPr>
        <w:jc w:val="both"/>
        <w:spacing w:before="100" w:after="0"/>
        <w:ind w:start="360"/>
        <w:ind w:firstLine="360"/>
      </w:pPr>
      <w:r>
        <w:rPr>
          <w:b/>
        </w:rPr>
        <w:t>1</w:t>
        <w:t xml:space="preserve">.  </w:t>
      </w:r>
      <w:r>
        <w:rPr>
          <w:b/>
        </w:rPr>
        <w:t xml:space="preserve">Health care provider or institution; intentional violation.</w:t>
        <w:t xml:space="preserve"> </w:t>
      </w:r>
      <w:r>
        <w:t xml:space="preserve"> </w:t>
      </w:r>
      <w:r>
        <w:t xml:space="preserve">A health care provider or health care institution that intentionally violates this Part is subject to liability to the aggrieved individual for damages of $500 or actual damages resulting from the violation, whichever is greater, plus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Interference with autonomy to make health care decisions.</w:t>
        <w:t xml:space="preserve"> </w:t>
      </w:r>
      <w:r>
        <w:t xml:space="preserve"> </w:t>
      </w:r>
      <w:r>
        <w:t xml:space="preserve">A person who intentionally falsifies, forges, conceals, defaces or obliterates an individual's advance health care directive or a revocation of an advance health care directive without the individual's consent, or who coerces or fraudulently induces an individual to give, revoke or not to give an advance health care directive, is subject to liability to that individual for damages of $2,500 or actual damages resulting from the action, whichever is greater, plus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§5-811. Statutory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§5-811. Statutory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§5-811. STATUTORY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