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5-713</w:t>
        <w:t xml:space="preserve">.  </w:t>
      </w:r>
      <w:r>
        <w:rPr>
          <w:b/>
        </w:rPr>
        <w:t xml:space="preserve">Limited public guardianships</w:t>
      </w:r>
    </w:p>
    <w:p>
      <w:pPr>
        <w:jc w:val="both"/>
        <w:spacing w:before="100" w:after="100"/>
        <w:ind w:start="360"/>
        <w:ind w:firstLine="360"/>
      </w:pPr>
      <w:r>
        <w:rPr/>
      </w:r>
      <w:r>
        <w:rPr/>
      </w:r>
      <w:r>
        <w:t xml:space="preserve">The provisions of </w:t>
      </w:r>
      <w:r>
        <w:t>Parts 2</w:t>
      </w:r>
      <w:r>
        <w:t xml:space="preserve"> and 3 regarding limited guardianships apply to the appointment of public guardians.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§5-713. Limited public guardianships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§5-713. Limited public guardianships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§5-713. LIMITED PUBLIC GUARDIANSHIPS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