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w:t>
      </w:r>
      <w:r>
        <w:t>section 5‑403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§60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w:t>
      </w:r>
      <w:r>
        <w:t>section 5‑403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5‑403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w:t>
      </w:r>
      <w:r>
        <w:t>section 5‑403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conservator required.</w:t>
        <w:t xml:space="preserve"> </w:t>
      </w:r>
      <w:r>
        <w:t xml:space="preserve"> </w:t>
      </w:r>
      <w:r>
        <w:t xml:space="preserve">Unless excused by the court for good cause, the proposed conservator shall attend a hearing under </w:t>
      </w:r>
      <w:r>
        <w:t>section 5‑403</w:t>
      </w:r>
      <w:r>
        <w:t xml:space="preserve"> in person.  Upon a showing of good cause, the court may allow the proposed conservator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§61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5‑403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5‑403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§§60, 61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§5-408. Attendance and rights at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 Attendance and rights at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§5-408. ATTENDANCE AND RIGHTS AT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