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3-612</w:t>
        <w:t xml:space="preserve">.  </w:t>
      </w:r>
      <w:r>
        <w:rPr>
          <w:b/>
        </w:rPr>
        <w:t xml:space="preserve">Termination of appointment; change of testacy status</w:t>
      </w:r>
    </w:p>
    <w:p>
      <w:pPr>
        <w:jc w:val="both"/>
        <w:spacing w:before="100" w:after="100"/>
        <w:ind w:start="360"/>
        <w:ind w:firstLine="360"/>
      </w:pPr>
      <w:r>
        <w:rPr/>
      </w:r>
      <w:r>
        <w:rPr/>
      </w:r>
      <w:r>
        <w:t xml:space="preserve">Except as otherwise ordered in formal proceedings, the probate of a will subsequent to the appointment of a personal representative in intestacy or under a will that is superseded by formal probate of another will, or the vacation of an informal probate of a will subsequent to the appointment of the personal representative under the will, does not terminate the appointment of the personal representative although the personal representative's powers may be reduced as provided in </w:t>
      </w:r>
      <w:r>
        <w:t>section 3‑401</w:t>
      </w:r>
      <w:r>
        <w:t xml:space="preserve">.  Termination occurs upon appointment in informal or formal appointment proceedings of a person entitled to appointment under the later assumption concerning testacy.  If no request for new appointment is made within 30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§3-612. Termination of appointment; change of testacy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§3-612. Termination of appointment; change of testacy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§3-612. TERMINATION OF APPOINTMENT; CHANGE OF TESTACY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