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2-105</w:t>
        <w:t xml:space="preserve">.  </w:t>
      </w:r>
      <w:r>
        <w:rPr>
          <w:b/>
        </w:rPr>
        <w:t xml:space="preserve">No taker</w:t>
      </w:r>
    </w:p>
    <w:p>
      <w:pPr>
        <w:jc w:val="both"/>
        <w:spacing w:before="100" w:after="100"/>
        <w:ind w:start="360"/>
        <w:ind w:firstLine="360"/>
      </w:pPr>
      <w:r>
        <w:rPr/>
      </w:r>
      <w:r>
        <w:rPr/>
      </w:r>
      <w:r>
        <w:t xml:space="preserve">If there is no taker under the provisions of this Article, the intestate estate passes to the State, except that an amount of funds included in the estate up to the total amount of restitution paid to the decedent pursuant to a court order for a crime of which the decedent was the victim passes to the Elder Victims Restitution Fund established in </w:t>
      </w:r>
      <w:r>
        <w:t>Title 34‑A, section 1214‑A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§2-105. No taker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§2-105. No taker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§2-105. NO TAKER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