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Limitation of action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Limitation of action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§1005. LIMITATION OF ACTION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