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9005</w:t>
        <w:t xml:space="preserve">.  </w:t>
      </w:r>
      <w:r>
        <w:rPr>
          <w:b/>
        </w:rPr>
        <w:t xml:space="preserve">Testimony and documents in connection with hostile litigation</w:t>
      </w:r>
    </w:p>
    <w:p>
      <w:pPr>
        <w:jc w:val="both"/>
        <w:spacing w:before="100" w:after="0"/>
        <w:ind w:start="360"/>
        <w:ind w:firstLine="360"/>
      </w:pPr>
      <w:r>
        <w:rPr>
          <w:b/>
        </w:rPr>
        <w:t>1</w:t>
        <w:t xml:space="preserve">.  </w:t>
      </w:r>
      <w:r>
        <w:rPr>
          <w:b/>
        </w:rPr>
        <w:t xml:space="preserve">Court order.</w:t>
        <w:t xml:space="preserve"> </w:t>
      </w:r>
      <w:r>
        <w:t xml:space="preserve"> </w:t>
      </w:r>
      <w:r>
        <w:t xml:space="preserve">Notwithstanding any provision of state law or court rule to the contrary and except as required by federal law, a court of this State may not order a person who is domiciled or found within this State to give testimony or a statement or produce documents or other information in any proceeding involving hostile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2</w:t>
        <w:t xml:space="preserve">.  </w:t>
      </w:r>
      <w:r>
        <w:rPr>
          <w:b/>
        </w:rPr>
        <w:t xml:space="preserve">Subpoena.</w:t>
        <w:t xml:space="preserve"> </w:t>
      </w:r>
      <w:r>
        <w:t xml:space="preserve"> </w:t>
      </w:r>
      <w:r>
        <w:t xml:space="preserve">An aggrieved person may move to modify or quash any subpoena issued in connection with hostile litigation on any grounds provided by law or court rule or on the ground that the subpoena is inconsistent with the public policy of this State as provided in </w:t>
      </w:r>
      <w:r>
        <w:t>section 9001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3</w:t>
        <w:t xml:space="preserve">.  </w:t>
      </w:r>
      <w:r>
        <w:rPr>
          <w:b/>
        </w:rPr>
        <w:t xml:space="preserve">Summons.</w:t>
        <w:t xml:space="preserve"> </w:t>
      </w:r>
      <w:r>
        <w:t xml:space="preserve"> </w:t>
      </w:r>
      <w:r>
        <w:t xml:space="preserve">Except as required by federal law, a court in this State may not issue a summons or warrant in a case involving criminal prosecution or a pending grand jury investigation under the criminal laws of another state for engaging in legally protected health care activity or aiding and assisting legally protected health care activity unless the conduct forming the basis of the prosecution or grand jury investigation would also constitute a criminal offense if the conduct occurred entirely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§9005. Testimony and documents in connection with hostile litigation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§9005. Testimony and documents in connection with hostile litigation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§9005. TESTIMONY AND DOCUMENTS IN CONNECTION WITH HOSTILE LITIGATION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