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Foreign judgments issued in connection with hostile litigation</w:t>
      </w:r>
    </w:p>
    <w:p>
      <w:pPr>
        <w:jc w:val="both"/>
        <w:spacing w:before="100" w:after="100"/>
        <w:ind w:start="360"/>
        <w:ind w:firstLine="360"/>
      </w:pPr>
      <w:r>
        <w:rPr>
          <w:b/>
        </w:rPr>
        <w:t>1</w:t>
        <w:t xml:space="preserve">.  </w:t>
      </w:r>
      <w:r>
        <w:rPr>
          <w:b/>
        </w:rPr>
        <w:t xml:space="preserve">Jurisdiction and due process required.</w:t>
        <w:t xml:space="preserve"> </w:t>
      </w:r>
      <w:r>
        <w:t xml:space="preserve"> </w:t>
      </w:r>
      <w:r>
        <w:t xml:space="preserve">A court of this State may not give any force or effect to any foreign judgment in connection with hostile litigation if the court that issued the foreign judgment did not:</w:t>
      </w:r>
    </w:p>
    <w:p>
      <w:pPr>
        <w:jc w:val="both"/>
        <w:spacing w:before="100" w:after="0"/>
        <w:ind w:start="720"/>
      </w:pPr>
      <w:r>
        <w:rPr/>
        <w:t>A</w:t>
        <w:t xml:space="preserve">.  </w:t>
      </w:r>
      <w:r>
        <w:rPr/>
      </w:r>
      <w:r>
        <w:t xml:space="preserve">Have personal jurisdiction over the defendant;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Have jurisdiction over the subject matter;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Provide due process of law.</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Limitations period.</w:t>
        <w:t xml:space="preserve"> </w:t>
      </w:r>
      <w:r>
        <w:t xml:space="preserve"> </w:t>
      </w:r>
      <w:r>
        <w:t xml:space="preserve">Notwithstanding any provision of law to the contrary, an action on a foreign judgment in connection with hostile litigation must be commenced by filing a new and independent action on the judgment within 5 years of the foreign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§9004. Foreign judgments issued in connection with hostile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Foreign judgments issued in connection with hostile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§9004. FOREIGN JUDGMENTS ISSUED IN CONNECTION WITH HOSTILE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