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§556. SPECIAL MOTION TO DISMISS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