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2022</w:t>
        <w:t xml:space="preserve">.  </w:t>
      </w:r>
      <w:r>
        <w:rPr>
          <w:b/>
        </w:rPr>
        <w:t xml:space="preserve">Levy commences when appraisers sworn</w:t>
      </w:r>
    </w:p>
    <w:p>
      <w:pPr>
        <w:jc w:val="both"/>
        <w:spacing w:before="100" w:after="100"/>
        <w:ind w:start="360"/>
        <w:ind w:firstLine="360"/>
      </w:pPr>
      <w:r>
        <w:rPr/>
      </w:r>
      <w:r>
        <w:rPr/>
      </w:r>
      <w:r>
        <w:t xml:space="preserve">For the purpose of fixing the amount due on the execution and the time when the debtor's right to redeem expires, all levies shall be considered to commence on the day of the date of the administration of the oath to the appraisers, although it may appear by the return of the officer that the estate was seized on execution before, or that the proceedings were not completed until after that day.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§2022. Levy commences when appraisers sworn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§2022. Levy commences when appraisers sworn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§2022. LEVY COMMENCES WHEN APPRAISERS SWORN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