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Fees</w:t>
      </w:r>
    </w:p>
    <w:p>
      <w:pPr>
        <w:jc w:val="both"/>
        <w:spacing w:before="100" w:after="100"/>
        <w:ind w:start="360"/>
        <w:ind w:firstLine="360"/>
      </w:pPr>
      <w:r>
        <w:rPr/>
      </w:r>
      <w:r>
        <w:rPr/>
      </w:r>
      <w:r>
        <w:t xml:space="preserve">The filing fee for the articles of incorporation filed under </w:t>
      </w:r>
      <w:r>
        <w:t>section 43</w:t>
      </w:r>
      <w:r>
        <w:t xml:space="preserve"> is the same as for a corporation filing articles of incorporation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