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Raising and assessment of moneys; publication</w:t>
      </w:r>
    </w:p>
    <w:p>
      <w:pPr>
        <w:jc w:val="both"/>
        <w:spacing w:before="100" w:after="100"/>
        <w:ind w:start="360"/>
        <w:ind w:firstLine="360"/>
      </w:pPr>
      <w:r>
        <w:rPr/>
      </w:r>
      <w:r>
        <w:rPr/>
      </w:r>
      <w:r>
        <w:t xml:space="preserve">At any legal meeting, the proprietors may raise money for bringing forward, completing the settlement of, managing or improving said lands, or for their common good, and assess the same according to their interests in the lands. The treasurer, collector or committee shall publish such assessment in the same manner as a meeting of the proprietors is notified.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Raising and assessment of moneys;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§2694. RAISING AND ASSESSMENT OF MONEYS;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